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F8F4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微软雅黑" w:hAnsi="微软雅黑" w:eastAsia="微软雅黑" w:cs="微软雅黑"/>
          <w:b/>
          <w:bCs/>
          <w:sz w:val="52"/>
          <w:szCs w:val="52"/>
          <w:lang w:val="en-US" w:eastAsia="zh-CN"/>
        </w:rPr>
      </w:pPr>
      <w:r>
        <w:rPr>
          <w:rFonts w:hint="eastAsia" w:ascii="微软雅黑" w:hAnsi="微软雅黑" w:eastAsia="微软雅黑" w:cs="微软雅黑"/>
          <w:b/>
          <w:bCs/>
          <w:sz w:val="52"/>
          <w:szCs w:val="52"/>
          <w:lang w:val="en-US" w:eastAsia="zh-CN"/>
        </w:rPr>
        <w:t>HNE-30F</w:t>
      </w:r>
    </w:p>
    <w:p w14:paraId="22D3EF1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微软雅黑" w:hAnsi="微软雅黑" w:eastAsia="微软雅黑" w:cs="微软雅黑"/>
          <w:b/>
          <w:bCs/>
          <w:sz w:val="52"/>
          <w:szCs w:val="52"/>
          <w:lang w:val="en-US" w:eastAsia="zh-CN"/>
        </w:rPr>
      </w:pPr>
      <w:r>
        <w:rPr>
          <w:rFonts w:hint="eastAsia" w:ascii="微软雅黑" w:hAnsi="微软雅黑" w:eastAsia="微软雅黑" w:cs="微软雅黑"/>
          <w:b/>
          <w:bCs/>
          <w:sz w:val="52"/>
          <w:szCs w:val="52"/>
          <w:lang w:val="en-US" w:eastAsia="zh-CN"/>
        </w:rPr>
        <w:t>电缆故障综合测试仪</w:t>
      </w:r>
    </w:p>
    <w:p w14:paraId="57F4C87B">
      <w:pPr>
        <w:jc w:val="center"/>
        <w:rPr>
          <w:rFonts w:hint="eastAsia" w:ascii="微软雅黑" w:hAnsi="微软雅黑" w:eastAsia="微软雅黑" w:cs="微软雅黑"/>
          <w:b/>
          <w:bCs/>
          <w:sz w:val="96"/>
          <w:szCs w:val="96"/>
          <w:lang w:val="en-US" w:eastAsia="zh-CN"/>
        </w:rPr>
      </w:pPr>
      <w:r>
        <w:rPr>
          <w:rFonts w:hint="eastAsia" w:ascii="微软雅黑" w:hAnsi="微软雅黑" w:eastAsia="微软雅黑" w:cs="微软雅黑"/>
          <w:b/>
          <w:bCs/>
          <w:sz w:val="96"/>
          <w:szCs w:val="96"/>
          <w:lang w:val="en-US" w:eastAsia="zh-CN"/>
        </w:rPr>
        <w:t>使用说明书</w:t>
      </w:r>
    </w:p>
    <w:p w14:paraId="18AA4D7D">
      <w:pPr>
        <w:rPr>
          <w:spacing w:val="0"/>
        </w:rPr>
      </w:pPr>
    </w:p>
    <w:p w14:paraId="39F92E05">
      <w:pPr>
        <w:pStyle w:val="4"/>
        <w:spacing w:line="269" w:lineRule="auto"/>
        <w:jc w:val="center"/>
        <w:rPr>
          <w:rFonts w:hint="eastAsia" w:eastAsia="宋体"/>
          <w:spacing w:val="0"/>
          <w:lang w:eastAsia="zh-CN"/>
        </w:rPr>
      </w:pPr>
    </w:p>
    <w:p w14:paraId="05FE6C41">
      <w:pPr>
        <w:pStyle w:val="4"/>
        <w:spacing w:line="269" w:lineRule="auto"/>
        <w:jc w:val="center"/>
        <w:rPr>
          <w:rFonts w:hint="eastAsia" w:eastAsia="宋体"/>
          <w:spacing w:val="0"/>
          <w:lang w:eastAsia="zh-CN"/>
        </w:rPr>
      </w:pPr>
      <w:r>
        <w:rPr>
          <w:rFonts w:hint="eastAsia" w:eastAsia="宋体"/>
          <w:spacing w:val="0"/>
          <w:lang w:eastAsia="zh-CN"/>
        </w:rPr>
        <w:drawing>
          <wp:inline distT="0" distB="0" distL="114300" distR="114300">
            <wp:extent cx="3709035" cy="4008755"/>
            <wp:effectExtent l="0" t="0" r="12065" b="4445"/>
            <wp:docPr id="5" name="图片 5"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3"/>
                    <pic:cNvPicPr>
                      <a:picLocks noChangeAspect="1"/>
                    </pic:cNvPicPr>
                  </pic:nvPicPr>
                  <pic:blipFill>
                    <a:blip r:embed="rId6"/>
                    <a:stretch>
                      <a:fillRect/>
                    </a:stretch>
                  </pic:blipFill>
                  <pic:spPr>
                    <a:xfrm>
                      <a:off x="0" y="0"/>
                      <a:ext cx="3709035" cy="4008755"/>
                    </a:xfrm>
                    <a:prstGeom prst="rect">
                      <a:avLst/>
                    </a:prstGeom>
                  </pic:spPr>
                </pic:pic>
              </a:graphicData>
            </a:graphic>
          </wp:inline>
        </w:drawing>
      </w:r>
    </w:p>
    <w:p w14:paraId="5EB58405">
      <w:pPr>
        <w:pStyle w:val="4"/>
        <w:spacing w:line="269" w:lineRule="auto"/>
        <w:rPr>
          <w:spacing w:val="0"/>
        </w:rPr>
      </w:pPr>
    </w:p>
    <w:p w14:paraId="0A9AF6CA">
      <w:pPr>
        <w:pStyle w:val="4"/>
        <w:spacing w:line="270" w:lineRule="auto"/>
        <w:rPr>
          <w:spacing w:val="0"/>
        </w:rPr>
      </w:pPr>
    </w:p>
    <w:p w14:paraId="3AC5DAF7">
      <w:pPr>
        <w:spacing w:before="169" w:line="220" w:lineRule="auto"/>
        <w:jc w:val="center"/>
        <w:rPr>
          <w:rFonts w:ascii="宋体" w:hAnsi="宋体" w:eastAsia="宋体" w:cs="宋体"/>
          <w:b/>
          <w:bCs/>
          <w:spacing w:val="0"/>
          <w:sz w:val="52"/>
          <w:szCs w:val="52"/>
        </w:rPr>
      </w:pPr>
    </w:p>
    <w:p w14:paraId="2F8CF4A5">
      <w:pPr>
        <w:spacing w:before="169" w:line="220" w:lineRule="auto"/>
        <w:jc w:val="center"/>
        <w:rPr>
          <w:rFonts w:hint="eastAsia" w:ascii="楷体" w:hAnsi="楷体" w:eastAsia="楷体" w:cs="楷体"/>
          <w:b/>
          <w:bCs/>
          <w:color w:val="FF0000"/>
          <w:spacing w:val="0"/>
          <w:sz w:val="32"/>
          <w:szCs w:val="32"/>
          <w:lang w:val="en-US" w:eastAsia="zh-CN" w:bidi="ar"/>
        </w:rPr>
        <w:sectPr>
          <w:headerReference r:id="rId3" w:type="default"/>
          <w:footerReference r:id="rId4" w:type="default"/>
          <w:pgSz w:w="11906" w:h="16838"/>
          <w:pgMar w:top="1134" w:right="1417" w:bottom="1134" w:left="1417" w:header="567" w:footer="992" w:gutter="0"/>
          <w:cols w:space="425" w:num="1"/>
          <w:docGrid w:type="lines" w:linePitch="312" w:charSpace="0"/>
        </w:sectPr>
      </w:pPr>
      <w:r>
        <w:rPr>
          <w:rFonts w:ascii="宋体" w:hAnsi="宋体" w:eastAsia="宋体" w:cs="宋体"/>
          <w:b/>
          <w:bCs/>
          <w:spacing w:val="0"/>
          <w:sz w:val="52"/>
          <w:szCs w:val="52"/>
        </w:rPr>
        <w:t>武汉华能阳光电气有限公司</w:t>
      </w:r>
    </w:p>
    <w:p w14:paraId="5277C16B">
      <w:pPr>
        <w:keepNext w:val="0"/>
        <w:keepLines w:val="0"/>
        <w:pageBreakBefore w:val="0"/>
        <w:widowControl w:val="0"/>
        <w:kinsoku/>
        <w:wordWrap/>
        <w:overflowPunct/>
        <w:topLinePunct w:val="0"/>
        <w:autoSpaceDE w:val="0"/>
        <w:autoSpaceDN/>
        <w:bidi w:val="0"/>
        <w:adjustRightInd/>
        <w:snapToGrid/>
        <w:spacing w:line="520" w:lineRule="exact"/>
        <w:ind w:firstLine="482" w:firstLineChars="200"/>
        <w:textAlignment w:val="auto"/>
        <w:rPr>
          <w:rFonts w:hint="eastAsia" w:ascii="楷体" w:hAnsi="楷体" w:eastAsia="楷体" w:cs="楷体"/>
          <w:b/>
          <w:bCs/>
          <w:spacing w:val="0"/>
          <w:sz w:val="32"/>
          <w:szCs w:val="32"/>
          <w:lang w:bidi="ar"/>
        </w:rPr>
      </w:pPr>
      <w:r>
        <w:rPr>
          <w:rFonts w:hint="eastAsia" w:ascii="楷体" w:hAnsi="楷体" w:eastAsia="楷体" w:cs="楷体"/>
          <w:b/>
          <w:bCs/>
          <w:spacing w:val="0"/>
          <w:sz w:val="24"/>
          <w:lang w:val="en-US" w:eastAsia="zh-CN" w:bidi="ar"/>
        </w:rPr>
        <w:t>电缆故障测距仪</w:t>
      </w:r>
      <w:r>
        <w:rPr>
          <w:rFonts w:hint="eastAsia" w:ascii="楷体" w:hAnsi="楷体" w:eastAsia="楷体" w:cs="楷体"/>
          <w:spacing w:val="0"/>
          <w:sz w:val="24"/>
        </w:rPr>
        <w:t>是我公司在电力工业快速进步的契机下，根据行业发展和市场需求，研发生产的电力电缆故障测试专用系统设备。其主要用于电力电缆开路、短路、接地、低阻、高阻闪络性及高阻泄漏性故障的测试，以及同轴通信电缆和市话电缆的开路、短路故障的精确测试；还可以电波测速、测定线缆长度等，并可建立电缆档案以便日常维护管理。该系统主要包含：HNE-30F</w:t>
      </w:r>
      <w:r>
        <w:rPr>
          <w:rFonts w:hint="eastAsia" w:ascii="楷体" w:hAnsi="楷体" w:eastAsia="楷体" w:cs="楷体"/>
          <w:b/>
          <w:bCs/>
          <w:color w:val="auto"/>
          <w:spacing w:val="0"/>
          <w:sz w:val="24"/>
          <w:lang w:val="en-US" w:eastAsia="zh-CN"/>
        </w:rPr>
        <w:t>电缆故障测距仪</w:t>
      </w:r>
      <w:r>
        <w:rPr>
          <w:rFonts w:hint="eastAsia" w:ascii="楷体" w:hAnsi="楷体" w:eastAsia="楷体" w:cs="楷体"/>
          <w:b/>
          <w:bCs/>
          <w:spacing w:val="0"/>
          <w:sz w:val="24"/>
        </w:rPr>
        <w:t>、</w:t>
      </w:r>
      <w:r>
        <w:rPr>
          <w:rFonts w:hint="eastAsia" w:ascii="楷体" w:hAnsi="楷体" w:eastAsia="楷体" w:cs="楷体"/>
          <w:b/>
          <w:bCs/>
          <w:spacing w:val="0"/>
          <w:sz w:val="24"/>
          <w:lang w:val="en-US" w:eastAsia="zh-CN"/>
        </w:rPr>
        <w:t>HNE-4960</w:t>
      </w:r>
      <w:r>
        <w:rPr>
          <w:rFonts w:hint="eastAsia" w:ascii="楷体" w:hAnsi="楷体" w:eastAsia="楷体" w:cs="楷体"/>
          <w:b/>
          <w:bCs/>
          <w:spacing w:val="0"/>
          <w:sz w:val="24"/>
        </w:rPr>
        <w:t>电缆路径查找仪、</w:t>
      </w:r>
      <w:r>
        <w:rPr>
          <w:rFonts w:hint="eastAsia" w:ascii="楷体" w:hAnsi="楷体" w:eastAsia="楷体" w:cs="楷体"/>
          <w:b/>
          <w:bCs/>
          <w:spacing w:val="0"/>
          <w:sz w:val="24"/>
          <w:lang w:eastAsia="zh-CN"/>
        </w:rPr>
        <w:t>HNE-02</w:t>
      </w:r>
      <w:r>
        <w:rPr>
          <w:rFonts w:hint="eastAsia" w:ascii="楷体" w:hAnsi="楷体" w:eastAsia="楷体" w:cs="楷体"/>
          <w:b/>
          <w:bCs/>
          <w:color w:val="000000"/>
          <w:spacing w:val="0"/>
          <w:kern w:val="0"/>
          <w:sz w:val="24"/>
        </w:rPr>
        <w:t>声磁同步定点仪、</w:t>
      </w:r>
      <w:r>
        <w:rPr>
          <w:rFonts w:hint="eastAsia" w:ascii="楷体" w:hAnsi="楷体" w:eastAsia="楷体" w:cs="楷体"/>
          <w:b/>
          <w:bCs/>
          <w:color w:val="000000"/>
          <w:spacing w:val="0"/>
          <w:kern w:val="0"/>
          <w:sz w:val="24"/>
          <w:lang w:val="en-US" w:eastAsia="zh-CN"/>
        </w:rPr>
        <w:t>HNE-35kV</w:t>
      </w:r>
      <w:r>
        <w:rPr>
          <w:rFonts w:hint="eastAsia" w:ascii="楷体" w:hAnsi="楷体" w:eastAsia="楷体" w:cs="楷体"/>
          <w:b/>
          <w:bCs/>
          <w:spacing w:val="0"/>
          <w:sz w:val="24"/>
        </w:rPr>
        <w:t>高压试验电源（变压器+操作箱+电容器）</w:t>
      </w:r>
      <w:r>
        <w:rPr>
          <w:rFonts w:hint="eastAsia" w:ascii="楷体" w:hAnsi="楷体" w:eastAsia="楷体" w:cs="楷体"/>
          <w:spacing w:val="0"/>
          <w:sz w:val="24"/>
        </w:rPr>
        <w:t>四部分。</w:t>
      </w:r>
    </w:p>
    <w:p w14:paraId="32175880">
      <w:pPr>
        <w:autoSpaceDE w:val="0"/>
        <w:spacing w:line="360" w:lineRule="auto"/>
        <w:jc w:val="center"/>
        <w:rPr>
          <w:rFonts w:hint="eastAsia" w:ascii="楷体" w:hAnsi="楷体" w:eastAsia="楷体" w:cs="楷体"/>
          <w:b/>
          <w:bCs/>
          <w:spacing w:val="0"/>
          <w:sz w:val="28"/>
          <w:szCs w:val="28"/>
          <w:lang w:eastAsia="zh-CN" w:bidi="ar"/>
        </w:rPr>
      </w:pPr>
      <w:r>
        <w:rPr>
          <w:rFonts w:hint="eastAsia" w:ascii="楷体" w:hAnsi="楷体" w:eastAsia="楷体" w:cs="楷体"/>
          <w:b/>
          <w:bCs/>
          <w:spacing w:val="0"/>
          <w:sz w:val="28"/>
          <w:szCs w:val="28"/>
          <w:lang w:eastAsia="zh-CN" w:bidi="ar"/>
        </w:rPr>
        <w:drawing>
          <wp:inline distT="0" distB="0" distL="114300" distR="114300">
            <wp:extent cx="5191125" cy="1659255"/>
            <wp:effectExtent l="0" t="0" r="9525" b="17145"/>
            <wp:docPr id="9" name="图片 9" descr="C:/Users/Administrator/Desktop/01.pn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esktop/01.png01"/>
                    <pic:cNvPicPr>
                      <a:picLocks noChangeAspect="1"/>
                    </pic:cNvPicPr>
                  </pic:nvPicPr>
                  <pic:blipFill>
                    <a:blip r:embed="rId7"/>
                    <a:srcRect t="2758" b="2758"/>
                    <a:stretch>
                      <a:fillRect/>
                    </a:stretch>
                  </pic:blipFill>
                  <pic:spPr>
                    <a:xfrm>
                      <a:off x="0" y="0"/>
                      <a:ext cx="5191125" cy="1659255"/>
                    </a:xfrm>
                    <a:prstGeom prst="rect">
                      <a:avLst/>
                    </a:prstGeom>
                  </pic:spPr>
                </pic:pic>
              </a:graphicData>
            </a:graphic>
          </wp:inline>
        </w:drawing>
      </w:r>
    </w:p>
    <w:p w14:paraId="29A60382">
      <w:pPr>
        <w:keepNext w:val="0"/>
        <w:keepLines w:val="0"/>
        <w:pageBreakBefore w:val="0"/>
        <w:widowControl w:val="0"/>
        <w:kinsoku/>
        <w:wordWrap/>
        <w:overflowPunct/>
        <w:topLinePunct w:val="0"/>
        <w:autoSpaceDE w:val="0"/>
        <w:autoSpaceDN/>
        <w:bidi w:val="0"/>
        <w:adjustRightInd/>
        <w:snapToGrid/>
        <w:spacing w:line="360" w:lineRule="auto"/>
        <w:textAlignment w:val="auto"/>
        <w:outlineLvl w:val="0"/>
        <w:rPr>
          <w:rFonts w:hint="eastAsia" w:ascii="楷体" w:hAnsi="楷体" w:eastAsia="楷体" w:cs="楷体"/>
          <w:b/>
          <w:bCs/>
          <w:spacing w:val="0"/>
          <w:sz w:val="28"/>
          <w:szCs w:val="28"/>
        </w:rPr>
      </w:pPr>
      <w:r>
        <w:rPr>
          <w:rFonts w:hint="eastAsia" w:ascii="楷体" w:hAnsi="楷体" w:eastAsia="楷体" w:cs="楷体"/>
          <w:b/>
          <w:bCs/>
          <w:spacing w:val="0"/>
          <w:sz w:val="28"/>
          <w:szCs w:val="28"/>
          <w:lang w:bidi="ar"/>
        </w:rPr>
        <w:t>一、</w:t>
      </w:r>
      <w:r>
        <w:rPr>
          <w:rFonts w:hint="eastAsia" w:ascii="楷体" w:hAnsi="楷体" w:eastAsia="楷体" w:cs="楷体"/>
          <w:b/>
          <w:bCs/>
          <w:color w:val="auto"/>
          <w:spacing w:val="0"/>
          <w:sz w:val="28"/>
          <w:szCs w:val="28"/>
          <w:lang w:bidi="ar"/>
        </w:rPr>
        <w:t xml:space="preserve"> HNE-30F</w:t>
      </w:r>
      <w:r>
        <w:rPr>
          <w:rFonts w:hint="eastAsia" w:ascii="楷体" w:hAnsi="楷体" w:eastAsia="楷体" w:cs="楷体"/>
          <w:b/>
          <w:bCs/>
          <w:color w:val="auto"/>
          <w:spacing w:val="0"/>
          <w:sz w:val="28"/>
          <w:szCs w:val="28"/>
          <w:lang w:val="en-US" w:eastAsia="zh-CN" w:bidi="ar"/>
        </w:rPr>
        <w:t xml:space="preserve"> 电缆故障测距仪</w:t>
      </w:r>
    </w:p>
    <w:p w14:paraId="585A3E09">
      <w:pPr>
        <w:keepNext w:val="0"/>
        <w:keepLines w:val="0"/>
        <w:pageBreakBefore w:val="0"/>
        <w:widowControl w:val="0"/>
        <w:kinsoku/>
        <w:wordWrap/>
        <w:overflowPunct/>
        <w:topLinePunct w:val="0"/>
        <w:autoSpaceDE w:val="0"/>
        <w:autoSpaceDN/>
        <w:bidi w:val="0"/>
        <w:adjustRightInd/>
        <w:snapToGrid/>
        <w:spacing w:line="520" w:lineRule="exact"/>
        <w:textAlignment w:val="auto"/>
        <w:rPr>
          <w:rFonts w:hint="eastAsia" w:ascii="楷体" w:hAnsi="楷体" w:eastAsia="楷体" w:cs="楷体"/>
          <w:b/>
          <w:bCs/>
          <w:spacing w:val="0"/>
          <w:sz w:val="24"/>
        </w:rPr>
      </w:pPr>
      <w:r>
        <w:rPr>
          <w:rFonts w:hint="eastAsia" w:ascii="楷体" w:hAnsi="楷体" w:eastAsia="楷体" w:cs="楷体"/>
          <w:b/>
          <w:bCs/>
          <w:spacing w:val="0"/>
          <w:sz w:val="24"/>
        </w:rPr>
        <w:t>产品介绍</w:t>
      </w:r>
    </w:p>
    <w:p w14:paraId="5C8B8567">
      <w:pPr>
        <w:keepNext w:val="0"/>
        <w:keepLines w:val="0"/>
        <w:pageBreakBefore w:val="0"/>
        <w:widowControl w:val="0"/>
        <w:kinsoku/>
        <w:wordWrap/>
        <w:overflowPunct/>
        <w:topLinePunct w:val="0"/>
        <w:autoSpaceDE w:val="0"/>
        <w:autoSpaceDN/>
        <w:bidi w:val="0"/>
        <w:adjustRightInd/>
        <w:snapToGrid/>
        <w:spacing w:line="520" w:lineRule="exact"/>
        <w:ind w:firstLine="420"/>
        <w:textAlignment w:val="auto"/>
        <w:rPr>
          <w:rFonts w:hint="eastAsia" w:ascii="楷体" w:hAnsi="楷体" w:eastAsia="楷体" w:cs="楷体"/>
          <w:spacing w:val="0"/>
          <w:sz w:val="24"/>
        </w:rPr>
      </w:pPr>
      <w:r>
        <w:rPr>
          <w:rFonts w:hint="eastAsia" w:ascii="楷体" w:hAnsi="楷体" w:eastAsia="楷体" w:cs="楷体"/>
          <w:spacing w:val="0"/>
          <w:sz w:val="24"/>
        </w:rPr>
        <w:t>本产品采用了国际最高水平的时域反射（TDR）技术，故障波形自动判距、简单明了，使用方便愉快；整机采用工控塑料机箱，小巧精致，易携带；人机界面友好，即使非专业人员操作，依然可以很快熟悉并使用，高效、准确</w:t>
      </w:r>
      <w:r>
        <w:rPr>
          <w:rFonts w:hint="eastAsia" w:ascii="楷体" w:hAnsi="楷体" w:eastAsia="楷体" w:cs="楷体"/>
          <w:spacing w:val="0"/>
          <w:sz w:val="24"/>
          <w:lang w:eastAsia="zh-CN"/>
        </w:rPr>
        <w:t>地</w:t>
      </w:r>
      <w:r>
        <w:rPr>
          <w:rFonts w:hint="eastAsia" w:ascii="楷体" w:hAnsi="楷体" w:eastAsia="楷体" w:cs="楷体"/>
          <w:spacing w:val="0"/>
          <w:sz w:val="24"/>
        </w:rPr>
        <w:t>完成电缆故障测试工作。</w:t>
      </w:r>
    </w:p>
    <w:p w14:paraId="64FA0FBA">
      <w:pPr>
        <w:keepNext w:val="0"/>
        <w:keepLines w:val="0"/>
        <w:pageBreakBefore w:val="0"/>
        <w:widowControl w:val="0"/>
        <w:kinsoku/>
        <w:wordWrap/>
        <w:overflowPunct/>
        <w:topLinePunct w:val="0"/>
        <w:autoSpaceDE w:val="0"/>
        <w:autoSpaceDN/>
        <w:bidi w:val="0"/>
        <w:adjustRightInd/>
        <w:snapToGrid/>
        <w:spacing w:line="520" w:lineRule="exact"/>
        <w:textAlignment w:val="auto"/>
        <w:rPr>
          <w:rFonts w:hint="eastAsia" w:ascii="楷体" w:hAnsi="楷体" w:eastAsia="楷体" w:cs="楷体"/>
          <w:b/>
          <w:bCs/>
          <w:spacing w:val="0"/>
          <w:sz w:val="24"/>
        </w:rPr>
      </w:pPr>
      <w:r>
        <w:rPr>
          <w:rFonts w:hint="eastAsia" w:ascii="楷体" w:hAnsi="楷体" w:eastAsia="楷体" w:cs="楷体"/>
          <w:b/>
          <w:bCs/>
          <w:spacing w:val="0"/>
          <w:sz w:val="24"/>
          <w:lang w:bidi="ar"/>
        </w:rPr>
        <w:t>功能特点</w:t>
      </w:r>
    </w:p>
    <w:p w14:paraId="684CF3B7">
      <w:pPr>
        <w:keepNext w:val="0"/>
        <w:keepLines w:val="0"/>
        <w:pageBreakBefore w:val="0"/>
        <w:widowControl w:val="0"/>
        <w:numPr>
          <w:ilvl w:val="0"/>
          <w:numId w:val="1"/>
        </w:numPr>
        <w:kinsoku/>
        <w:wordWrap/>
        <w:overflowPunct/>
        <w:topLinePunct w:val="0"/>
        <w:autoSpaceDE w:val="0"/>
        <w:autoSpaceDN/>
        <w:bidi w:val="0"/>
        <w:adjustRightInd/>
        <w:snapToGrid/>
        <w:spacing w:line="520" w:lineRule="exact"/>
        <w:ind w:left="825" w:hanging="405"/>
        <w:textAlignment w:val="auto"/>
        <w:rPr>
          <w:rFonts w:hint="eastAsia" w:ascii="楷体" w:hAnsi="楷体" w:eastAsia="楷体" w:cs="楷体"/>
          <w:spacing w:val="0"/>
          <w:sz w:val="24"/>
        </w:rPr>
      </w:pPr>
      <w:r>
        <w:rPr>
          <w:rFonts w:hint="eastAsia" w:ascii="楷体" w:hAnsi="楷体" w:eastAsia="楷体" w:cs="楷体"/>
          <w:spacing w:val="0"/>
          <w:sz w:val="24"/>
          <w:lang w:bidi="ar"/>
        </w:rPr>
        <w:t>用于35kV及以下</w:t>
      </w:r>
      <w:r>
        <w:rPr>
          <w:rFonts w:hint="eastAsia" w:ascii="楷体" w:hAnsi="楷体" w:eastAsia="楷体" w:cs="楷体"/>
          <w:spacing w:val="0"/>
          <w:sz w:val="24"/>
        </w:rPr>
        <w:t>不同等级、不同截面、不同介质及各种材质的电力电缆的各类故障，包括：开路、短路、低阻、高阻泄漏、高阻闪络性故障。</w:t>
      </w:r>
    </w:p>
    <w:p w14:paraId="13401187">
      <w:pPr>
        <w:keepNext w:val="0"/>
        <w:keepLines w:val="0"/>
        <w:pageBreakBefore w:val="0"/>
        <w:widowControl w:val="0"/>
        <w:numPr>
          <w:ilvl w:val="0"/>
          <w:numId w:val="1"/>
        </w:numPr>
        <w:kinsoku/>
        <w:wordWrap/>
        <w:overflowPunct/>
        <w:topLinePunct w:val="0"/>
        <w:autoSpaceDE w:val="0"/>
        <w:autoSpaceDN/>
        <w:bidi w:val="0"/>
        <w:adjustRightInd/>
        <w:snapToGrid/>
        <w:spacing w:line="520" w:lineRule="exact"/>
        <w:ind w:left="825" w:hanging="405"/>
        <w:textAlignment w:val="auto"/>
        <w:rPr>
          <w:rFonts w:hint="eastAsia" w:ascii="楷体" w:hAnsi="楷体" w:eastAsia="楷体" w:cs="楷体"/>
          <w:spacing w:val="0"/>
          <w:sz w:val="24"/>
        </w:rPr>
      </w:pPr>
      <w:r>
        <w:rPr>
          <w:rFonts w:hint="eastAsia" w:ascii="楷体" w:hAnsi="楷体" w:eastAsia="楷体" w:cs="楷体"/>
          <w:spacing w:val="0"/>
          <w:sz w:val="24"/>
          <w:lang w:bidi="ar"/>
        </w:rPr>
        <w:t>可配合高压设备实现传统电缆故障测试的低压脉冲法、冲击闪络法、速度测量法。</w:t>
      </w:r>
    </w:p>
    <w:p w14:paraId="17EADEEC">
      <w:pPr>
        <w:keepNext w:val="0"/>
        <w:keepLines w:val="0"/>
        <w:pageBreakBefore w:val="0"/>
        <w:widowControl w:val="0"/>
        <w:numPr>
          <w:ilvl w:val="0"/>
          <w:numId w:val="1"/>
        </w:numPr>
        <w:kinsoku/>
        <w:wordWrap/>
        <w:overflowPunct/>
        <w:topLinePunct w:val="0"/>
        <w:autoSpaceDE w:val="0"/>
        <w:autoSpaceDN/>
        <w:bidi w:val="0"/>
        <w:adjustRightInd/>
        <w:snapToGrid/>
        <w:spacing w:line="520" w:lineRule="exact"/>
        <w:ind w:left="825" w:hanging="405"/>
        <w:textAlignment w:val="auto"/>
        <w:rPr>
          <w:rFonts w:hint="eastAsia" w:ascii="楷体" w:hAnsi="楷体" w:eastAsia="楷体" w:cs="楷体"/>
          <w:spacing w:val="0"/>
          <w:sz w:val="24"/>
        </w:rPr>
      </w:pPr>
      <w:r>
        <w:rPr>
          <w:rFonts w:hint="eastAsia" w:ascii="楷体" w:hAnsi="楷体" w:eastAsia="楷体" w:cs="楷体"/>
          <w:spacing w:val="0"/>
          <w:sz w:val="24"/>
          <w:lang w:bidi="ar"/>
        </w:rPr>
        <w:t>全中文操作软件和使用界面，子菜单方式和文字提示实现人机互动。</w:t>
      </w:r>
    </w:p>
    <w:p w14:paraId="5B835839">
      <w:pPr>
        <w:keepNext w:val="0"/>
        <w:keepLines w:val="0"/>
        <w:pageBreakBefore w:val="0"/>
        <w:widowControl w:val="0"/>
        <w:numPr>
          <w:ilvl w:val="0"/>
          <w:numId w:val="1"/>
        </w:numPr>
        <w:kinsoku/>
        <w:wordWrap/>
        <w:overflowPunct/>
        <w:topLinePunct w:val="0"/>
        <w:autoSpaceDE w:val="0"/>
        <w:autoSpaceDN/>
        <w:bidi w:val="0"/>
        <w:adjustRightInd/>
        <w:snapToGrid/>
        <w:spacing w:line="520" w:lineRule="exact"/>
        <w:ind w:left="825" w:hanging="405"/>
        <w:textAlignment w:val="auto"/>
        <w:rPr>
          <w:rFonts w:hint="eastAsia" w:ascii="楷体" w:hAnsi="楷体" w:eastAsia="楷体" w:cs="楷体"/>
          <w:spacing w:val="0"/>
          <w:sz w:val="24"/>
        </w:rPr>
      </w:pPr>
      <w:r>
        <w:rPr>
          <w:rFonts w:hint="eastAsia" w:ascii="楷体" w:hAnsi="楷体" w:eastAsia="楷体" w:cs="楷体"/>
          <w:spacing w:val="0"/>
          <w:sz w:val="24"/>
          <w:lang w:bidi="ar"/>
        </w:rPr>
        <w:t>工业级</w:t>
      </w:r>
      <w:r>
        <w:rPr>
          <w:rFonts w:hint="eastAsia" w:ascii="楷体" w:hAnsi="楷体" w:eastAsia="楷体" w:cs="楷体"/>
          <w:spacing w:val="0"/>
          <w:sz w:val="24"/>
          <w:lang w:val="en-US" w:eastAsia="zh-CN" w:bidi="ar"/>
        </w:rPr>
        <w:t>8</w:t>
      </w:r>
      <w:r>
        <w:rPr>
          <w:rFonts w:hint="eastAsia" w:ascii="楷体" w:hAnsi="楷体" w:eastAsia="楷体" w:cs="楷体"/>
          <w:spacing w:val="0"/>
          <w:sz w:val="24"/>
          <w:lang w:bidi="ar"/>
        </w:rPr>
        <w:t>寸彩色触摸液晶屏显示，全中文操作软件和使用界面，子菜单方式和文字提示实现人机互动。</w:t>
      </w:r>
    </w:p>
    <w:p w14:paraId="45375492">
      <w:pPr>
        <w:keepNext w:val="0"/>
        <w:keepLines w:val="0"/>
        <w:pageBreakBefore w:val="0"/>
        <w:widowControl w:val="0"/>
        <w:numPr>
          <w:ilvl w:val="0"/>
          <w:numId w:val="1"/>
        </w:numPr>
        <w:kinsoku/>
        <w:wordWrap/>
        <w:overflowPunct/>
        <w:topLinePunct w:val="0"/>
        <w:autoSpaceDE w:val="0"/>
        <w:autoSpaceDN/>
        <w:bidi w:val="0"/>
        <w:adjustRightInd/>
        <w:snapToGrid/>
        <w:spacing w:line="520" w:lineRule="exact"/>
        <w:ind w:left="825" w:hanging="405"/>
        <w:textAlignment w:val="auto"/>
        <w:rPr>
          <w:rFonts w:hint="eastAsia" w:ascii="楷体" w:hAnsi="楷体" w:eastAsia="楷体" w:cs="楷体"/>
          <w:spacing w:val="0"/>
          <w:sz w:val="24"/>
        </w:rPr>
      </w:pPr>
      <w:r>
        <w:rPr>
          <w:rFonts w:hint="eastAsia" w:ascii="楷体" w:hAnsi="楷体" w:eastAsia="楷体" w:cs="楷体"/>
          <w:spacing w:val="0"/>
          <w:sz w:val="24"/>
          <w:lang w:bidi="ar"/>
        </w:rPr>
        <w:t>全局波形和局部波形同步显示，便于整体分析和细节调整。</w:t>
      </w:r>
    </w:p>
    <w:p w14:paraId="2018CF6A">
      <w:pPr>
        <w:keepNext w:val="0"/>
        <w:keepLines w:val="0"/>
        <w:pageBreakBefore w:val="0"/>
        <w:widowControl w:val="0"/>
        <w:numPr>
          <w:ilvl w:val="0"/>
          <w:numId w:val="1"/>
        </w:numPr>
        <w:kinsoku/>
        <w:wordWrap/>
        <w:overflowPunct/>
        <w:topLinePunct w:val="0"/>
        <w:autoSpaceDE w:val="0"/>
        <w:autoSpaceDN/>
        <w:bidi w:val="0"/>
        <w:adjustRightInd/>
        <w:snapToGrid/>
        <w:spacing w:line="520" w:lineRule="exact"/>
        <w:ind w:left="825" w:hanging="405"/>
        <w:textAlignment w:val="auto"/>
        <w:rPr>
          <w:rFonts w:hint="eastAsia" w:ascii="楷体" w:hAnsi="楷体" w:eastAsia="楷体" w:cs="楷体"/>
          <w:spacing w:val="0"/>
          <w:sz w:val="24"/>
        </w:rPr>
      </w:pPr>
      <w:r>
        <w:rPr>
          <w:rFonts w:hint="eastAsia" w:ascii="楷体" w:hAnsi="楷体" w:eastAsia="楷体" w:cs="楷体"/>
          <w:spacing w:val="0"/>
          <w:sz w:val="24"/>
          <w:lang w:bidi="ar"/>
        </w:rPr>
        <w:t>任何高阻故障均呈现最简单的类似低压脉冲短路故障波形特征，极易判读。</w:t>
      </w:r>
    </w:p>
    <w:p w14:paraId="543FEA93">
      <w:pPr>
        <w:keepNext w:val="0"/>
        <w:keepLines w:val="0"/>
        <w:pageBreakBefore w:val="0"/>
        <w:widowControl w:val="0"/>
        <w:numPr>
          <w:ilvl w:val="0"/>
          <w:numId w:val="1"/>
        </w:numPr>
        <w:kinsoku/>
        <w:wordWrap/>
        <w:overflowPunct/>
        <w:topLinePunct w:val="0"/>
        <w:autoSpaceDE w:val="0"/>
        <w:autoSpaceDN/>
        <w:bidi w:val="0"/>
        <w:adjustRightInd/>
        <w:snapToGrid/>
        <w:spacing w:line="520" w:lineRule="exact"/>
        <w:ind w:left="825" w:hanging="405"/>
        <w:textAlignment w:val="auto"/>
        <w:rPr>
          <w:rFonts w:hint="eastAsia" w:ascii="楷体" w:hAnsi="楷体" w:eastAsia="楷体" w:cs="楷体"/>
          <w:spacing w:val="0"/>
          <w:sz w:val="24"/>
        </w:rPr>
      </w:pPr>
      <w:r>
        <w:rPr>
          <w:rFonts w:hint="eastAsia" w:ascii="楷体" w:hAnsi="楷体" w:eastAsia="楷体" w:cs="楷体"/>
          <w:spacing w:val="0"/>
          <w:sz w:val="24"/>
          <w:lang w:bidi="ar"/>
        </w:rPr>
        <w:t>内置电源供电，在无电源环境中均可长时间使用。</w:t>
      </w:r>
    </w:p>
    <w:p w14:paraId="60739DF5">
      <w:pPr>
        <w:keepNext w:val="0"/>
        <w:keepLines w:val="0"/>
        <w:pageBreakBefore w:val="0"/>
        <w:widowControl w:val="0"/>
        <w:numPr>
          <w:ilvl w:val="0"/>
          <w:numId w:val="1"/>
        </w:numPr>
        <w:kinsoku/>
        <w:wordWrap/>
        <w:overflowPunct/>
        <w:topLinePunct w:val="0"/>
        <w:autoSpaceDE w:val="0"/>
        <w:autoSpaceDN/>
        <w:bidi w:val="0"/>
        <w:adjustRightInd/>
        <w:snapToGrid/>
        <w:spacing w:line="520" w:lineRule="exact"/>
        <w:ind w:left="825" w:hanging="405"/>
        <w:textAlignment w:val="auto"/>
        <w:rPr>
          <w:rFonts w:hint="eastAsia" w:ascii="楷体" w:hAnsi="楷体" w:eastAsia="楷体" w:cs="楷体"/>
          <w:spacing w:val="0"/>
          <w:sz w:val="24"/>
        </w:rPr>
      </w:pPr>
      <w:r>
        <w:rPr>
          <w:rFonts w:hint="eastAsia" w:ascii="楷体" w:hAnsi="楷体" w:eastAsia="楷体" w:cs="楷体"/>
          <w:spacing w:val="0"/>
          <w:sz w:val="24"/>
          <w:lang w:bidi="ar"/>
        </w:rPr>
        <w:t>体积小、重量轻、使用方便，检测故障成功率和测试精度高。</w:t>
      </w:r>
    </w:p>
    <w:p w14:paraId="6B167B03">
      <w:pPr>
        <w:numPr>
          <w:ilvl w:val="0"/>
          <w:numId w:val="1"/>
        </w:numPr>
        <w:autoSpaceDE w:val="0"/>
        <w:spacing w:line="360" w:lineRule="auto"/>
        <w:ind w:left="825" w:hanging="405"/>
        <w:rPr>
          <w:rFonts w:hint="eastAsia" w:ascii="楷体" w:hAnsi="楷体" w:eastAsia="楷体" w:cs="楷体"/>
          <w:spacing w:val="0"/>
          <w:kern w:val="0"/>
          <w:sz w:val="24"/>
        </w:rPr>
      </w:pPr>
      <w:r>
        <w:rPr>
          <w:rFonts w:hint="eastAsia" w:ascii="楷体" w:hAnsi="楷体" w:eastAsia="楷体" w:cs="楷体"/>
          <w:spacing w:val="0"/>
          <w:sz w:val="24"/>
          <w:lang w:bidi="ar"/>
        </w:rPr>
        <w:t>在任何环境下性能稳定，不死机，信号采集高压保护措施安全。</w:t>
      </w:r>
    </w:p>
    <w:p w14:paraId="031CCD55">
      <w:pPr>
        <w:numPr>
          <w:ilvl w:val="0"/>
          <w:numId w:val="1"/>
        </w:numPr>
        <w:autoSpaceDE w:val="0"/>
        <w:spacing w:line="360" w:lineRule="auto"/>
        <w:ind w:left="825" w:hanging="405"/>
        <w:rPr>
          <w:rFonts w:hint="eastAsia" w:ascii="楷体" w:hAnsi="楷体" w:eastAsia="楷体" w:cs="楷体"/>
          <w:spacing w:val="0"/>
          <w:kern w:val="0"/>
          <w:sz w:val="24"/>
        </w:rPr>
      </w:pPr>
      <w:r>
        <w:rPr>
          <w:rFonts w:hint="eastAsia" w:ascii="楷体" w:hAnsi="楷体" w:eastAsia="楷体" w:cs="楷体"/>
          <w:spacing w:val="0"/>
          <w:sz w:val="24"/>
          <w:lang w:bidi="ar"/>
        </w:rPr>
        <w:t>内置存储/调出功能，可方便将数据及波形保存或调出重新分析。</w:t>
      </w:r>
    </w:p>
    <w:p w14:paraId="7EAF1319">
      <w:pPr>
        <w:numPr>
          <w:ilvl w:val="0"/>
          <w:numId w:val="1"/>
        </w:numPr>
        <w:autoSpaceDE w:val="0"/>
        <w:spacing w:line="360" w:lineRule="auto"/>
        <w:ind w:left="825" w:hanging="405"/>
        <w:rPr>
          <w:rFonts w:hint="eastAsia" w:ascii="楷体" w:hAnsi="楷体" w:eastAsia="楷体" w:cs="楷体"/>
          <w:spacing w:val="0"/>
          <w:kern w:val="0"/>
          <w:sz w:val="24"/>
        </w:rPr>
      </w:pPr>
      <w:r>
        <w:rPr>
          <w:rFonts w:hint="eastAsia" w:ascii="楷体" w:hAnsi="楷体" w:eastAsia="楷体" w:cs="楷体"/>
          <w:spacing w:val="0"/>
          <w:sz w:val="24"/>
          <w:lang w:bidi="ar"/>
        </w:rPr>
        <w:t>测试信号提供多种脉冲宽度，无测试盲区。</w:t>
      </w:r>
    </w:p>
    <w:p w14:paraId="66E0AB8E">
      <w:pPr>
        <w:autoSpaceDE w:val="0"/>
        <w:spacing w:line="360" w:lineRule="auto"/>
        <w:rPr>
          <w:rFonts w:hint="eastAsia" w:ascii="楷体" w:hAnsi="楷体" w:eastAsia="楷体" w:cs="楷体"/>
          <w:b/>
          <w:bCs/>
          <w:spacing w:val="0"/>
          <w:kern w:val="0"/>
          <w:sz w:val="24"/>
        </w:rPr>
      </w:pPr>
      <w:r>
        <w:rPr>
          <w:rFonts w:hint="eastAsia" w:ascii="楷体" w:hAnsi="楷体" w:eastAsia="楷体" w:cs="楷体"/>
          <w:b/>
          <w:bCs/>
          <w:spacing w:val="0"/>
          <w:kern w:val="0"/>
          <w:sz w:val="24"/>
          <w:lang w:bidi="ar"/>
        </w:rPr>
        <w:t>技术参数</w:t>
      </w:r>
    </w:p>
    <w:p w14:paraId="5DCF6DDE">
      <w:pPr>
        <w:numPr>
          <w:ilvl w:val="0"/>
          <w:numId w:val="2"/>
        </w:numPr>
        <w:autoSpaceDE w:val="0"/>
        <w:spacing w:line="360" w:lineRule="auto"/>
        <w:ind w:left="825" w:right="25" w:rightChars="12" w:hanging="405"/>
        <w:rPr>
          <w:rFonts w:hint="eastAsia" w:ascii="楷体" w:hAnsi="楷体" w:eastAsia="楷体" w:cs="楷体"/>
          <w:spacing w:val="0"/>
          <w:sz w:val="24"/>
        </w:rPr>
      </w:pPr>
      <w:r>
        <w:rPr>
          <w:spacing w:val="0"/>
        </w:rPr>
        <w:drawing>
          <wp:anchor distT="0" distB="0" distL="114300" distR="114300" simplePos="0" relativeHeight="251661312" behindDoc="0" locked="0" layoutInCell="1" allowOverlap="1">
            <wp:simplePos x="0" y="0"/>
            <wp:positionH relativeFrom="column">
              <wp:posOffset>3409950</wp:posOffset>
            </wp:positionH>
            <wp:positionV relativeFrom="paragraph">
              <wp:posOffset>428625</wp:posOffset>
            </wp:positionV>
            <wp:extent cx="2135505" cy="2239010"/>
            <wp:effectExtent l="0" t="0" r="13335" b="1270"/>
            <wp:wrapSquare wrapText="bothSides"/>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8"/>
                    <a:stretch>
                      <a:fillRect/>
                    </a:stretch>
                  </pic:blipFill>
                  <pic:spPr>
                    <a:xfrm>
                      <a:off x="0" y="0"/>
                      <a:ext cx="2135505" cy="2239010"/>
                    </a:xfrm>
                    <a:prstGeom prst="rect">
                      <a:avLst/>
                    </a:prstGeom>
                    <a:noFill/>
                    <a:ln>
                      <a:noFill/>
                    </a:ln>
                  </pic:spPr>
                </pic:pic>
              </a:graphicData>
            </a:graphic>
          </wp:anchor>
        </w:drawing>
      </w:r>
      <w:r>
        <w:rPr>
          <w:rFonts w:hint="eastAsia" w:ascii="楷体" w:hAnsi="楷体" w:eastAsia="楷体" w:cs="楷体"/>
          <w:spacing w:val="0"/>
          <w:sz w:val="24"/>
          <w:lang w:bidi="ar"/>
        </w:rPr>
        <w:t>采样方法：低压脉冲法、冲击闪络法、速度测量法</w:t>
      </w:r>
      <w:r>
        <w:rPr>
          <w:rFonts w:hint="eastAsia" w:ascii="楷体" w:hAnsi="楷体" w:eastAsia="楷体" w:cs="楷体"/>
          <w:spacing w:val="0"/>
          <w:szCs w:val="21"/>
          <w:lang w:bidi="ar"/>
        </w:rPr>
        <w:t>（扩展有三次脉冲法、八次脉冲法）</w:t>
      </w:r>
    </w:p>
    <w:p w14:paraId="7AAE12AA">
      <w:pPr>
        <w:numPr>
          <w:ilvl w:val="0"/>
          <w:numId w:val="2"/>
        </w:numPr>
        <w:autoSpaceDE w:val="0"/>
        <w:spacing w:line="360" w:lineRule="auto"/>
        <w:ind w:left="825" w:right="25" w:rightChars="12" w:hanging="405"/>
        <w:rPr>
          <w:rFonts w:hint="eastAsia" w:ascii="楷体" w:hAnsi="楷体" w:eastAsia="楷体" w:cs="楷体"/>
          <w:spacing w:val="0"/>
          <w:sz w:val="24"/>
        </w:rPr>
      </w:pPr>
      <w:r>
        <w:rPr>
          <w:rFonts w:hint="eastAsia" w:ascii="楷体" w:hAnsi="楷体" w:eastAsia="楷体" w:cs="楷体"/>
          <w:spacing w:val="0"/>
          <w:sz w:val="24"/>
          <w:lang w:bidi="ar"/>
        </w:rPr>
        <w:t>采样速率：200 MHz、100 MHz、80 MHz、40 MHz、20MHz、10 MHz</w:t>
      </w:r>
    </w:p>
    <w:p w14:paraId="06586F04">
      <w:pPr>
        <w:numPr>
          <w:ilvl w:val="0"/>
          <w:numId w:val="2"/>
        </w:numPr>
        <w:autoSpaceDE w:val="0"/>
        <w:spacing w:line="360" w:lineRule="auto"/>
        <w:ind w:left="825" w:right="25" w:rightChars="12" w:hanging="405"/>
        <w:rPr>
          <w:rFonts w:hint="eastAsia" w:ascii="楷体" w:hAnsi="楷体" w:eastAsia="楷体" w:cs="楷体"/>
          <w:spacing w:val="0"/>
          <w:sz w:val="24"/>
        </w:rPr>
      </w:pPr>
      <w:r>
        <w:rPr>
          <w:rFonts w:hint="eastAsia" w:ascii="楷体" w:hAnsi="楷体" w:eastAsia="楷体" w:cs="楷体"/>
          <w:spacing w:val="0"/>
          <w:sz w:val="24"/>
          <w:lang w:bidi="ar"/>
        </w:rPr>
        <w:t>脉冲宽度：0.05μs、0.1μs、0.2μs、0.5μs、1μs、2μs、8μs</w:t>
      </w:r>
    </w:p>
    <w:p w14:paraId="7C5DF2CF">
      <w:pPr>
        <w:numPr>
          <w:ilvl w:val="0"/>
          <w:numId w:val="2"/>
        </w:numPr>
        <w:autoSpaceDE w:val="0"/>
        <w:spacing w:line="360" w:lineRule="auto"/>
        <w:ind w:left="825" w:right="25" w:rightChars="12" w:hanging="405"/>
        <w:rPr>
          <w:rFonts w:hint="eastAsia" w:ascii="楷体" w:hAnsi="楷体" w:eastAsia="楷体" w:cs="楷体"/>
          <w:spacing w:val="0"/>
          <w:sz w:val="24"/>
        </w:rPr>
      </w:pPr>
      <w:r>
        <w:rPr>
          <w:rFonts w:hint="eastAsia" w:ascii="楷体" w:hAnsi="楷体" w:eastAsia="楷体" w:cs="楷体"/>
          <w:spacing w:val="0"/>
          <w:sz w:val="24"/>
        </w:rPr>
        <w:t>波速设置：交联乙烯、聚氯乙烯、油浸纸、不滴油和未知类型自设定</w:t>
      </w:r>
    </w:p>
    <w:p w14:paraId="3A43D9AF">
      <w:pPr>
        <w:numPr>
          <w:ilvl w:val="0"/>
          <w:numId w:val="2"/>
        </w:numPr>
        <w:autoSpaceDE w:val="0"/>
        <w:spacing w:line="360" w:lineRule="auto"/>
        <w:ind w:left="825" w:right="25" w:rightChars="12" w:hanging="405"/>
        <w:rPr>
          <w:rFonts w:hint="eastAsia" w:ascii="楷体" w:hAnsi="楷体" w:eastAsia="楷体" w:cs="楷体"/>
          <w:spacing w:val="0"/>
          <w:sz w:val="24"/>
        </w:rPr>
      </w:pPr>
      <w:r>
        <w:rPr>
          <w:rFonts w:hint="eastAsia" w:ascii="楷体" w:hAnsi="楷体" w:eastAsia="楷体" w:cs="楷体"/>
          <w:spacing w:val="0"/>
          <w:sz w:val="24"/>
          <w:lang w:bidi="ar"/>
        </w:rPr>
        <w:t>冲击高压：35kV及以下</w:t>
      </w:r>
    </w:p>
    <w:p w14:paraId="4319F79B">
      <w:pPr>
        <w:numPr>
          <w:ilvl w:val="0"/>
          <w:numId w:val="2"/>
        </w:numPr>
        <w:autoSpaceDE w:val="0"/>
        <w:spacing w:line="360" w:lineRule="auto"/>
        <w:ind w:left="825" w:right="25" w:rightChars="12" w:hanging="405"/>
        <w:rPr>
          <w:rFonts w:hint="eastAsia" w:ascii="楷体" w:hAnsi="楷体" w:eastAsia="楷体" w:cs="楷体"/>
          <w:spacing w:val="0"/>
          <w:sz w:val="24"/>
        </w:rPr>
      </w:pPr>
      <w:r>
        <w:rPr>
          <w:rFonts w:hint="eastAsia" w:ascii="楷体" w:hAnsi="楷体" w:eastAsia="楷体" w:cs="楷体"/>
          <w:spacing w:val="0"/>
          <w:sz w:val="24"/>
          <w:lang w:bidi="ar"/>
        </w:rPr>
        <w:t>测试距离：＜60km，盲区</w:t>
      </w:r>
      <w:r>
        <w:rPr>
          <w:rFonts w:hint="eastAsia" w:ascii="楷体" w:hAnsi="楷体" w:eastAsia="楷体" w:cs="楷体"/>
          <w:bCs/>
          <w:spacing w:val="0"/>
          <w:kern w:val="44"/>
          <w:sz w:val="24"/>
        </w:rPr>
        <w:t>≤1m</w:t>
      </w:r>
    </w:p>
    <w:p w14:paraId="34CC50B4">
      <w:pPr>
        <w:numPr>
          <w:ilvl w:val="0"/>
          <w:numId w:val="2"/>
        </w:numPr>
        <w:autoSpaceDE w:val="0"/>
        <w:spacing w:line="360" w:lineRule="auto"/>
        <w:ind w:left="825" w:right="25" w:rightChars="12" w:hanging="405"/>
        <w:rPr>
          <w:rFonts w:hint="eastAsia" w:ascii="楷体" w:hAnsi="楷体" w:eastAsia="楷体" w:cs="楷体"/>
          <w:spacing w:val="0"/>
          <w:sz w:val="24"/>
        </w:rPr>
      </w:pPr>
      <w:r>
        <w:rPr>
          <w:rFonts w:hint="eastAsia" w:ascii="楷体" w:hAnsi="楷体" w:eastAsia="楷体" w:cs="楷体"/>
          <w:spacing w:val="0"/>
          <w:sz w:val="24"/>
          <w:lang w:bidi="ar"/>
        </w:rPr>
        <w:t>分 辨 率：1m</w:t>
      </w:r>
    </w:p>
    <w:p w14:paraId="524486CA">
      <w:pPr>
        <w:numPr>
          <w:ilvl w:val="0"/>
          <w:numId w:val="2"/>
        </w:numPr>
        <w:autoSpaceDE w:val="0"/>
        <w:spacing w:line="360" w:lineRule="auto"/>
        <w:ind w:left="825" w:right="25" w:rightChars="12" w:hanging="405"/>
        <w:rPr>
          <w:rFonts w:hint="eastAsia" w:ascii="楷体" w:hAnsi="楷体" w:eastAsia="楷体" w:cs="楷体"/>
          <w:spacing w:val="0"/>
          <w:sz w:val="24"/>
        </w:rPr>
      </w:pPr>
      <w:r>
        <w:rPr>
          <w:rFonts w:hint="eastAsia" w:ascii="楷体" w:hAnsi="楷体" w:eastAsia="楷体" w:cs="楷体"/>
          <w:spacing w:val="0"/>
          <w:sz w:val="24"/>
          <w:lang w:bidi="ar"/>
        </w:rPr>
        <w:t>测试精度：1m</w:t>
      </w:r>
    </w:p>
    <w:p w14:paraId="382625F9">
      <w:pPr>
        <w:numPr>
          <w:ilvl w:val="0"/>
          <w:numId w:val="2"/>
        </w:numPr>
        <w:autoSpaceDE w:val="0"/>
        <w:spacing w:line="360" w:lineRule="auto"/>
        <w:ind w:left="825" w:right="25" w:rightChars="12" w:hanging="405"/>
        <w:rPr>
          <w:rFonts w:hint="eastAsia" w:ascii="楷体" w:hAnsi="楷体" w:eastAsia="楷体" w:cs="楷体"/>
          <w:spacing w:val="0"/>
          <w:sz w:val="24"/>
        </w:rPr>
      </w:pPr>
      <w:r>
        <w:rPr>
          <w:rFonts w:hint="eastAsia" w:ascii="楷体" w:hAnsi="楷体" w:eastAsia="楷体" w:cs="楷体"/>
          <w:spacing w:val="0"/>
          <w:sz w:val="24"/>
          <w:lang w:bidi="ar"/>
        </w:rPr>
        <w:t>显示方式：工业级</w:t>
      </w:r>
      <w:r>
        <w:rPr>
          <w:rFonts w:hint="eastAsia" w:ascii="楷体" w:hAnsi="楷体" w:eastAsia="楷体" w:cs="楷体"/>
          <w:spacing w:val="0"/>
          <w:sz w:val="24"/>
          <w:lang w:val="en-US" w:eastAsia="zh-CN" w:bidi="ar"/>
        </w:rPr>
        <w:t>8</w:t>
      </w:r>
      <w:r>
        <w:rPr>
          <w:rFonts w:hint="eastAsia" w:ascii="楷体" w:hAnsi="楷体" w:eastAsia="楷体" w:cs="楷体"/>
          <w:spacing w:val="0"/>
          <w:sz w:val="24"/>
          <w:lang w:bidi="ar"/>
        </w:rPr>
        <w:t>寸彩色触摸液晶屏</w:t>
      </w:r>
    </w:p>
    <w:p w14:paraId="390CE1BF">
      <w:pPr>
        <w:numPr>
          <w:ilvl w:val="0"/>
          <w:numId w:val="2"/>
        </w:numPr>
        <w:autoSpaceDE w:val="0"/>
        <w:spacing w:line="360" w:lineRule="auto"/>
        <w:ind w:left="825" w:right="25" w:rightChars="12" w:hanging="405"/>
        <w:rPr>
          <w:rFonts w:hint="eastAsia" w:ascii="楷体" w:hAnsi="楷体" w:eastAsia="楷体" w:cs="楷体"/>
          <w:spacing w:val="0"/>
          <w:sz w:val="24"/>
        </w:rPr>
      </w:pPr>
      <w:r>
        <w:rPr>
          <w:rFonts w:hint="eastAsia" w:ascii="楷体" w:hAnsi="楷体" w:eastAsia="楷体" w:cs="楷体"/>
          <w:spacing w:val="0"/>
          <w:sz w:val="24"/>
          <w:lang w:bidi="ar"/>
        </w:rPr>
        <w:t>操作方式：触摸屏操作、物理旋钮操作</w:t>
      </w:r>
    </w:p>
    <w:p w14:paraId="0F97DA60">
      <w:pPr>
        <w:numPr>
          <w:ilvl w:val="0"/>
          <w:numId w:val="2"/>
        </w:numPr>
        <w:autoSpaceDE w:val="0"/>
        <w:spacing w:line="360" w:lineRule="auto"/>
        <w:ind w:left="825" w:right="25" w:rightChars="12" w:hanging="405"/>
        <w:rPr>
          <w:rFonts w:hint="eastAsia" w:ascii="楷体" w:hAnsi="楷体" w:eastAsia="楷体" w:cs="楷体"/>
          <w:spacing w:val="0"/>
          <w:sz w:val="24"/>
        </w:rPr>
      </w:pPr>
      <w:r>
        <w:rPr>
          <w:rFonts w:hint="eastAsia" w:ascii="楷体" w:hAnsi="楷体" w:eastAsia="楷体" w:cs="楷体"/>
          <w:spacing w:val="0"/>
          <w:sz w:val="24"/>
        </w:rPr>
        <w:t>分析设置：滚屏、缩放、保存、调出、波移等功能</w:t>
      </w:r>
    </w:p>
    <w:p w14:paraId="6319B5DF">
      <w:pPr>
        <w:numPr>
          <w:ilvl w:val="0"/>
          <w:numId w:val="2"/>
        </w:numPr>
        <w:autoSpaceDE w:val="0"/>
        <w:spacing w:line="360" w:lineRule="auto"/>
        <w:ind w:left="825" w:right="23" w:rightChars="11" w:hanging="405"/>
        <w:rPr>
          <w:rFonts w:hint="eastAsia" w:ascii="楷体" w:hAnsi="楷体" w:eastAsia="楷体" w:cs="楷体"/>
          <w:spacing w:val="0"/>
          <w:sz w:val="24"/>
        </w:rPr>
      </w:pPr>
      <w:r>
        <w:rPr>
          <w:rFonts w:hint="eastAsia" w:ascii="楷体" w:hAnsi="楷体" w:eastAsia="楷体" w:cs="楷体"/>
          <w:spacing w:val="0"/>
          <w:sz w:val="24"/>
          <w:lang w:bidi="ar"/>
        </w:rPr>
        <w:t>工作电源：内置电池供电</w:t>
      </w:r>
    </w:p>
    <w:p w14:paraId="7FBF3AA2">
      <w:pPr>
        <w:numPr>
          <w:ilvl w:val="0"/>
          <w:numId w:val="2"/>
        </w:numPr>
        <w:autoSpaceDE w:val="0"/>
        <w:spacing w:line="360" w:lineRule="auto"/>
        <w:ind w:left="825" w:right="23" w:rightChars="11" w:hanging="405"/>
        <w:rPr>
          <w:rFonts w:hint="eastAsia" w:ascii="楷体" w:hAnsi="楷体" w:eastAsia="楷体" w:cs="楷体"/>
          <w:spacing w:val="0"/>
          <w:sz w:val="24"/>
        </w:rPr>
      </w:pPr>
      <w:r>
        <w:rPr>
          <w:rFonts w:hint="eastAsia" w:ascii="楷体" w:hAnsi="楷体" w:eastAsia="楷体" w:cs="楷体"/>
          <w:spacing w:val="0"/>
          <w:sz w:val="24"/>
          <w:lang w:bidi="ar"/>
        </w:rPr>
        <w:t>连续工作：≥8h（亦可使用外接电源使用），充电电源</w:t>
      </w:r>
      <w:r>
        <w:rPr>
          <w:rFonts w:hint="eastAsia" w:ascii="楷体" w:hAnsi="楷体" w:eastAsia="楷体" w:cs="楷体"/>
          <w:bCs/>
          <w:spacing w:val="0"/>
          <w:kern w:val="44"/>
          <w:sz w:val="24"/>
        </w:rPr>
        <w:t>AC220V±10%</w:t>
      </w:r>
    </w:p>
    <w:p w14:paraId="6D6282A0">
      <w:pPr>
        <w:numPr>
          <w:ilvl w:val="0"/>
          <w:numId w:val="2"/>
        </w:numPr>
        <w:autoSpaceDE w:val="0"/>
        <w:spacing w:line="360" w:lineRule="auto"/>
        <w:ind w:left="825" w:right="23" w:rightChars="11" w:hanging="405"/>
        <w:rPr>
          <w:rFonts w:hint="eastAsia" w:ascii="楷体" w:hAnsi="楷体" w:eastAsia="楷体" w:cs="楷体"/>
          <w:spacing w:val="0"/>
          <w:sz w:val="24"/>
        </w:rPr>
      </w:pPr>
      <w:r>
        <w:rPr>
          <w:rFonts w:hint="eastAsia" w:ascii="楷体" w:hAnsi="楷体" w:eastAsia="楷体" w:cs="楷体"/>
          <w:spacing w:val="0"/>
          <w:sz w:val="24"/>
          <w:lang w:bidi="ar"/>
        </w:rPr>
        <w:t>储存功能：具有数据存储功能，可存储大量现场波形及数据，并随时调出使用</w:t>
      </w:r>
    </w:p>
    <w:p w14:paraId="1EC5487E">
      <w:pPr>
        <w:numPr>
          <w:ilvl w:val="0"/>
          <w:numId w:val="2"/>
        </w:numPr>
        <w:autoSpaceDE w:val="0"/>
        <w:spacing w:line="360" w:lineRule="auto"/>
        <w:ind w:left="825" w:right="23" w:rightChars="11" w:hanging="405"/>
        <w:rPr>
          <w:rFonts w:hint="eastAsia" w:ascii="楷体" w:hAnsi="楷体" w:eastAsia="楷体" w:cs="楷体"/>
          <w:spacing w:val="0"/>
          <w:sz w:val="24"/>
        </w:rPr>
      </w:pPr>
      <w:r>
        <w:rPr>
          <w:rFonts w:hint="eastAsia" w:ascii="楷体" w:hAnsi="楷体" w:eastAsia="楷体" w:cs="楷体"/>
          <w:spacing w:val="0"/>
          <w:sz w:val="24"/>
          <w:lang w:bidi="ar"/>
        </w:rPr>
        <w:t>波形分析：所有的高阻故障波形仅表现为低压脉冲法的短路故障波形特征，便于分析卡位</w:t>
      </w:r>
    </w:p>
    <w:p w14:paraId="16722B14">
      <w:pPr>
        <w:numPr>
          <w:ilvl w:val="0"/>
          <w:numId w:val="2"/>
        </w:numPr>
        <w:autoSpaceDE w:val="0"/>
        <w:spacing w:line="360" w:lineRule="auto"/>
        <w:ind w:left="825" w:right="25" w:rightChars="12" w:hanging="405"/>
        <w:rPr>
          <w:rFonts w:hint="eastAsia" w:ascii="楷体" w:hAnsi="楷体" w:eastAsia="楷体" w:cs="楷体"/>
          <w:spacing w:val="0"/>
          <w:sz w:val="24"/>
        </w:rPr>
      </w:pPr>
      <w:r>
        <w:rPr>
          <w:rFonts w:hint="eastAsia" w:ascii="楷体" w:hAnsi="楷体" w:eastAsia="楷体" w:cs="楷体"/>
          <w:spacing w:val="0"/>
          <w:sz w:val="24"/>
          <w:lang w:bidi="ar"/>
        </w:rPr>
        <w:t>波形处理：能将测得的故障点波形与好相的全长开路波形同时显示在屏幕上进行同屏对比和叠加对比，可自动判断故障距离</w:t>
      </w:r>
    </w:p>
    <w:p w14:paraId="16552913">
      <w:pPr>
        <w:numPr>
          <w:ilvl w:val="0"/>
          <w:numId w:val="2"/>
        </w:numPr>
        <w:autoSpaceDE w:val="0"/>
        <w:spacing w:line="360" w:lineRule="auto"/>
        <w:ind w:left="825" w:right="25" w:rightChars="12" w:hanging="405"/>
        <w:rPr>
          <w:rFonts w:hint="eastAsia" w:ascii="楷体" w:hAnsi="楷体" w:eastAsia="楷体" w:cs="楷体"/>
          <w:spacing w:val="0"/>
          <w:sz w:val="24"/>
        </w:rPr>
      </w:pPr>
      <w:r>
        <w:rPr>
          <w:rFonts w:hint="eastAsia" w:ascii="楷体" w:hAnsi="楷体" w:eastAsia="楷体" w:cs="楷体"/>
          <w:spacing w:val="0"/>
          <w:sz w:val="24"/>
          <w:lang w:bidi="ar"/>
        </w:rPr>
        <w:t>外形尺寸：长415mm×宽319mm×高168mm</w:t>
      </w:r>
      <w:r>
        <w:rPr>
          <w:rFonts w:hint="eastAsia" w:ascii="楷体" w:hAnsi="楷体" w:eastAsia="楷体" w:cs="楷体"/>
          <w:spacing w:val="0"/>
          <w:sz w:val="24"/>
          <w:lang w:eastAsia="zh-CN" w:bidi="ar"/>
        </w:rPr>
        <w:t>（</w:t>
      </w:r>
      <w:r>
        <w:rPr>
          <w:rFonts w:hint="eastAsia" w:ascii="楷体" w:hAnsi="楷体" w:eastAsia="楷体" w:cs="楷体"/>
          <w:spacing w:val="0"/>
          <w:sz w:val="24"/>
          <w:lang w:val="en-US" w:eastAsia="zh-CN" w:bidi="ar"/>
        </w:rPr>
        <w:t>含外箱）</w:t>
      </w:r>
    </w:p>
    <w:p w14:paraId="45DD8D5F">
      <w:pPr>
        <w:numPr>
          <w:ilvl w:val="0"/>
          <w:numId w:val="2"/>
        </w:numPr>
        <w:autoSpaceDE w:val="0"/>
        <w:spacing w:line="360" w:lineRule="auto"/>
        <w:ind w:left="825" w:right="25" w:rightChars="12" w:hanging="405"/>
        <w:rPr>
          <w:rFonts w:hint="eastAsia" w:ascii="楷体" w:hAnsi="楷体" w:eastAsia="楷体" w:cs="楷体"/>
          <w:spacing w:val="0"/>
          <w:kern w:val="0"/>
          <w:sz w:val="24"/>
        </w:rPr>
      </w:pPr>
      <w:r>
        <w:rPr>
          <w:rFonts w:hint="eastAsia" w:ascii="楷体" w:hAnsi="楷体" w:eastAsia="楷体" w:cs="楷体"/>
          <w:spacing w:val="0"/>
          <w:sz w:val="24"/>
          <w:lang w:bidi="ar"/>
        </w:rPr>
        <w:t>重    量：</w:t>
      </w:r>
      <w:r>
        <w:rPr>
          <w:rFonts w:hint="eastAsia" w:ascii="楷体" w:hAnsi="楷体" w:eastAsia="楷体" w:cs="楷体"/>
          <w:spacing w:val="0"/>
          <w:sz w:val="24"/>
          <w:lang w:val="en-US" w:eastAsia="zh-CN" w:bidi="ar"/>
        </w:rPr>
        <w:t>3.0</w:t>
      </w:r>
      <w:r>
        <w:rPr>
          <w:rFonts w:hint="eastAsia" w:ascii="楷体" w:hAnsi="楷体" w:eastAsia="楷体" w:cs="楷体"/>
          <w:spacing w:val="0"/>
          <w:sz w:val="24"/>
          <w:lang w:bidi="ar"/>
        </w:rPr>
        <w:t>kg</w:t>
      </w:r>
    </w:p>
    <w:p w14:paraId="39EED7F9">
      <w:pPr>
        <w:keepNext w:val="0"/>
        <w:keepLines w:val="0"/>
        <w:pageBreakBefore w:val="0"/>
        <w:widowControl w:val="0"/>
        <w:numPr>
          <w:ilvl w:val="0"/>
          <w:numId w:val="3"/>
        </w:numPr>
        <w:kinsoku/>
        <w:wordWrap/>
        <w:overflowPunct/>
        <w:topLinePunct w:val="0"/>
        <w:autoSpaceDE/>
        <w:autoSpaceDN/>
        <w:bidi w:val="0"/>
        <w:adjustRightInd/>
        <w:snapToGrid/>
        <w:spacing w:line="520" w:lineRule="exact"/>
        <w:textAlignment w:val="auto"/>
        <w:outlineLvl w:val="0"/>
        <w:rPr>
          <w:rFonts w:hint="eastAsia" w:ascii="楷体" w:hAnsi="楷体" w:eastAsia="楷体" w:cs="楷体"/>
          <w:b/>
          <w:bCs/>
          <w:spacing w:val="0"/>
          <w:sz w:val="28"/>
          <w:szCs w:val="28"/>
          <w:lang w:val="en-US" w:eastAsia="zh-CN"/>
        </w:rPr>
      </w:pPr>
      <w:r>
        <w:rPr>
          <w:rFonts w:hint="eastAsia" w:ascii="楷体" w:hAnsi="楷体" w:eastAsia="楷体" w:cs="楷体"/>
          <w:b/>
          <w:bCs/>
          <w:spacing w:val="0"/>
          <w:sz w:val="28"/>
          <w:szCs w:val="28"/>
          <w:lang w:val="en-US" w:eastAsia="zh-CN"/>
        </w:rPr>
        <w:t>HNE-4960A/B 电缆管线探测仪</w:t>
      </w:r>
    </w:p>
    <w:p w14:paraId="64AA0FC7">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outlineLvl w:val="0"/>
        <w:rPr>
          <w:rFonts w:hint="eastAsia" w:ascii="楷体" w:hAnsi="楷体" w:eastAsia="楷体" w:cs="楷体"/>
          <w:b/>
          <w:bCs/>
          <w:spacing w:val="0"/>
          <w:sz w:val="28"/>
          <w:szCs w:val="28"/>
        </w:rPr>
      </w:pPr>
      <w:r>
        <w:rPr>
          <w:rFonts w:hint="eastAsia" w:ascii="楷体" w:hAnsi="楷体" w:eastAsia="楷体" w:cs="楷体"/>
          <w:b/>
          <w:bCs/>
          <w:spacing w:val="0"/>
          <w:sz w:val="28"/>
          <w:szCs w:val="28"/>
          <w:lang w:val="en-US" w:eastAsia="zh-CN"/>
        </w:rPr>
        <w:t>（发射机：HNE-4960A，接收机：HNE-4960B）</w:t>
      </w:r>
    </w:p>
    <w:p w14:paraId="3595E11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 w:hAnsi="楷体" w:eastAsia="楷体" w:cs="楷体"/>
          <w:b/>
          <w:bCs/>
          <w:spacing w:val="0"/>
          <w:sz w:val="24"/>
        </w:rPr>
      </w:pPr>
      <w:bookmarkStart w:id="0" w:name="_Toc29099"/>
      <w:bookmarkStart w:id="1" w:name="_Toc11285"/>
      <w:bookmarkStart w:id="2" w:name="_Toc22920"/>
      <w:r>
        <w:rPr>
          <w:rFonts w:hint="eastAsia" w:ascii="楷体" w:hAnsi="楷体" w:eastAsia="楷体" w:cs="楷体"/>
          <w:b/>
          <w:bCs/>
          <w:spacing w:val="0"/>
          <w:sz w:val="24"/>
        </w:rPr>
        <w:t>产品简介</w:t>
      </w:r>
    </w:p>
    <w:p w14:paraId="13BECB3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楷体" w:hAnsi="楷体" w:eastAsia="楷体" w:cs="楷体"/>
          <w:spacing w:val="0"/>
          <w:sz w:val="24"/>
        </w:rPr>
      </w:pPr>
      <w:r>
        <w:drawing>
          <wp:anchor distT="0" distB="0" distL="114300" distR="114300" simplePos="0" relativeHeight="251662336" behindDoc="1" locked="0" layoutInCell="1" allowOverlap="1">
            <wp:simplePos x="0" y="0"/>
            <wp:positionH relativeFrom="column">
              <wp:posOffset>4326890</wp:posOffset>
            </wp:positionH>
            <wp:positionV relativeFrom="paragraph">
              <wp:posOffset>60960</wp:posOffset>
            </wp:positionV>
            <wp:extent cx="1546225" cy="1997710"/>
            <wp:effectExtent l="0" t="0" r="0" b="0"/>
            <wp:wrapTight wrapText="bothSides">
              <wp:wrapPolygon>
                <wp:start x="17032" y="0"/>
                <wp:lineTo x="6653" y="1648"/>
                <wp:lineTo x="5322" y="2060"/>
                <wp:lineTo x="5322" y="3296"/>
                <wp:lineTo x="2129" y="4325"/>
                <wp:lineTo x="0" y="5767"/>
                <wp:lineTo x="798" y="9887"/>
                <wp:lineTo x="1863" y="13182"/>
                <wp:lineTo x="1331" y="13800"/>
                <wp:lineTo x="266" y="16272"/>
                <wp:lineTo x="0" y="18126"/>
                <wp:lineTo x="0" y="20392"/>
                <wp:lineTo x="4524" y="21421"/>
                <wp:lineTo x="6919" y="21421"/>
                <wp:lineTo x="18894" y="21421"/>
                <wp:lineTo x="19161" y="21421"/>
                <wp:lineTo x="19161" y="19774"/>
                <wp:lineTo x="20225" y="6591"/>
                <wp:lineTo x="21290" y="1854"/>
                <wp:lineTo x="21290" y="206"/>
                <wp:lineTo x="19693" y="0"/>
                <wp:lineTo x="17032" y="0"/>
              </wp:wrapPolygon>
            </wp:wrapTight>
            <wp:docPr id="4" name="图片 4" descr="dac768aa534d05a5f7beabec8113c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ac768aa534d05a5f7beabec8113c717"/>
                    <pic:cNvPicPr>
                      <a:picLocks noChangeAspect="1"/>
                    </pic:cNvPicPr>
                  </pic:nvPicPr>
                  <pic:blipFill>
                    <a:blip r:embed="rId9"/>
                    <a:stretch>
                      <a:fillRect/>
                    </a:stretch>
                  </pic:blipFill>
                  <pic:spPr>
                    <a:xfrm>
                      <a:off x="0" y="0"/>
                      <a:ext cx="1546225" cy="1997710"/>
                    </a:xfrm>
                    <a:prstGeom prst="rect">
                      <a:avLst/>
                    </a:prstGeom>
                  </pic:spPr>
                </pic:pic>
              </a:graphicData>
            </a:graphic>
          </wp:anchor>
        </w:drawing>
      </w:r>
      <w:r>
        <w:rPr>
          <w:rFonts w:hint="eastAsia" w:ascii="楷体" w:hAnsi="楷体" w:eastAsia="楷体" w:cs="楷体"/>
          <w:spacing w:val="0"/>
          <w:sz w:val="24"/>
        </w:rPr>
        <w:t>本产品输出的正弦波信号加到电缆上时，在电缆周围有电磁场存在，利用磁电传感器（感应线圈）将电磁波转换为电信号，通过放大器放大，再由蜂鸣器或耳机转换为声波信号，同时可以用表头反映出信号的变化。当线圈位于电缆正上方并垂直于地面时，线圈的感应电动势最小；当线圈垂直于地面并偏离电缆一定距离时，通过线圈的磁力线增加，线圈的感应电动势增大，利用这一原理即可对电缆的路径进行探测。</w:t>
      </w:r>
    </w:p>
    <w:p w14:paraId="17D2C48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 w:hAnsi="楷体" w:eastAsia="楷体" w:cs="楷体"/>
          <w:b/>
          <w:bCs/>
          <w:spacing w:val="0"/>
          <w:sz w:val="24"/>
        </w:rPr>
      </w:pPr>
      <w:r>
        <w:rPr>
          <w:rFonts w:hint="eastAsia" w:ascii="楷体" w:hAnsi="楷体" w:eastAsia="楷体" w:cs="楷体"/>
          <w:b/>
          <w:bCs/>
          <w:spacing w:val="0"/>
          <w:sz w:val="24"/>
        </w:rPr>
        <w:t>功能特点</w:t>
      </w:r>
    </w:p>
    <w:p w14:paraId="7FE9EFF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楷体" w:hAnsi="楷体" w:eastAsia="楷体" w:cs="楷体"/>
          <w:spacing w:val="0"/>
          <w:sz w:val="24"/>
        </w:rPr>
      </w:pPr>
      <w:r>
        <w:rPr>
          <w:rFonts w:hint="eastAsia" w:ascii="楷体" w:hAnsi="楷体" w:eastAsia="楷体" w:cs="楷体"/>
          <w:spacing w:val="0"/>
          <w:sz w:val="24"/>
        </w:rPr>
        <w:t>由于采用断续的幅度调制15kHz正弦信号</w:t>
      </w:r>
      <w:r>
        <w:rPr>
          <w:rFonts w:hint="eastAsia" w:ascii="楷体" w:hAnsi="楷体" w:eastAsia="楷体" w:cs="楷体"/>
          <w:spacing w:val="0"/>
          <w:sz w:val="24"/>
          <w:lang w:eastAsia="zh-CN"/>
        </w:rPr>
        <w:t>，</w:t>
      </w:r>
      <w:r>
        <w:rPr>
          <w:rFonts w:hint="eastAsia" w:ascii="楷体" w:hAnsi="楷体" w:eastAsia="楷体" w:cs="楷体"/>
          <w:spacing w:val="0"/>
          <w:sz w:val="24"/>
        </w:rPr>
        <w:t>在探测埋地电缆的路径走向及埋设深度时，可有效地抑制工频干扰及电视机行频（15625Hz）的同频干扰，极大提高了现场探测效率。由于采用幅度调制技术，本信号发射器不仅适用于传统的差拍式接收机，也适用于直放式倍压检波路径接收机。本信号发射器的大功率输出信号可以使所探测的路径距离达10km以上，完全满足国内大多数企业的各类超长度敷设的电缆。</w:t>
      </w:r>
    </w:p>
    <w:p w14:paraId="75A7F843">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楷体" w:hAnsi="楷体" w:eastAsia="楷体" w:cs="楷体"/>
          <w:spacing w:val="0"/>
          <w:sz w:val="24"/>
        </w:rPr>
      </w:pPr>
    </w:p>
    <w:p w14:paraId="73740950">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default" w:ascii="楷体" w:hAnsi="楷体" w:eastAsia="楷体" w:cs="楷体"/>
          <w:spacing w:val="0"/>
          <w:sz w:val="24"/>
          <w:lang w:val="en-US"/>
        </w:rPr>
      </w:pPr>
      <w:r>
        <w:rPr>
          <w:rFonts w:hint="eastAsia" w:ascii="楷体" w:hAnsi="楷体" w:eastAsia="楷体" w:cs="楷体"/>
          <w:b/>
          <w:bCs/>
          <w:spacing w:val="0"/>
          <w:sz w:val="28"/>
          <w:szCs w:val="28"/>
          <w:lang w:val="en-US" w:eastAsia="zh-CN"/>
        </w:rPr>
        <w:t>发射机：HNE-4960A                接收机：HNE-4960B</w:t>
      </w:r>
    </w:p>
    <w:p w14:paraId="4C9C45B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楷体" w:hAnsi="楷体" w:eastAsia="楷体" w:cs="楷体"/>
          <w:spacing w:val="0"/>
          <w:sz w:val="24"/>
          <w:lang w:eastAsia="zh-CN"/>
        </w:rPr>
      </w:pPr>
    </w:p>
    <w:p w14:paraId="041A5A1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楷体" w:hAnsi="楷体" w:eastAsia="楷体" w:cs="楷体"/>
          <w:spacing w:val="0"/>
          <w:sz w:val="24"/>
        </w:rPr>
      </w:pPr>
      <w:r>
        <w:rPr>
          <w:rFonts w:hint="eastAsia" w:ascii="楷体" w:hAnsi="楷体" w:eastAsia="楷体" w:cs="楷体"/>
          <w:spacing w:val="0"/>
          <w:sz w:val="24"/>
          <w:lang w:eastAsia="zh-CN"/>
        </w:rPr>
        <w:drawing>
          <wp:anchor distT="0" distB="0" distL="114300" distR="114300" simplePos="0" relativeHeight="251665408" behindDoc="0" locked="0" layoutInCell="1" allowOverlap="1">
            <wp:simplePos x="0" y="0"/>
            <wp:positionH relativeFrom="column">
              <wp:posOffset>3346450</wp:posOffset>
            </wp:positionH>
            <wp:positionV relativeFrom="paragraph">
              <wp:posOffset>41910</wp:posOffset>
            </wp:positionV>
            <wp:extent cx="1238250" cy="2188210"/>
            <wp:effectExtent l="0" t="0" r="6350" b="8890"/>
            <wp:wrapNone/>
            <wp:docPr id="10" name="图片 10" descr="5669d2a4c754fc23bd08a287e1e97a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5669d2a4c754fc23bd08a287e1e97a3c"/>
                    <pic:cNvPicPr>
                      <a:picLocks noChangeAspect="1"/>
                    </pic:cNvPicPr>
                  </pic:nvPicPr>
                  <pic:blipFill>
                    <a:blip r:embed="rId10"/>
                    <a:stretch>
                      <a:fillRect/>
                    </a:stretch>
                  </pic:blipFill>
                  <pic:spPr>
                    <a:xfrm>
                      <a:off x="0" y="0"/>
                      <a:ext cx="1238250" cy="2188210"/>
                    </a:xfrm>
                    <a:prstGeom prst="rect">
                      <a:avLst/>
                    </a:prstGeom>
                  </pic:spPr>
                </pic:pic>
              </a:graphicData>
            </a:graphic>
          </wp:anchor>
        </w:drawing>
      </w:r>
      <w:r>
        <w:rPr>
          <w:rFonts w:hint="eastAsia" w:ascii="楷体" w:hAnsi="楷体" w:eastAsia="楷体" w:cs="楷体"/>
          <w:spacing w:val="0"/>
          <w:sz w:val="24"/>
          <w:lang w:eastAsia="zh-CN"/>
        </w:rPr>
        <w:drawing>
          <wp:anchor distT="0" distB="0" distL="114300" distR="114300" simplePos="0" relativeHeight="251664384" behindDoc="0" locked="0" layoutInCell="1" allowOverlap="1">
            <wp:simplePos x="0" y="0"/>
            <wp:positionH relativeFrom="column">
              <wp:posOffset>417830</wp:posOffset>
            </wp:positionH>
            <wp:positionV relativeFrom="paragraph">
              <wp:posOffset>53340</wp:posOffset>
            </wp:positionV>
            <wp:extent cx="1174750" cy="1779270"/>
            <wp:effectExtent l="0" t="0" r="6350" b="11430"/>
            <wp:wrapNone/>
            <wp:docPr id="1" name="图片 1" descr="a00a1e8593c41ba9ed96bd0570fb8c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00a1e8593c41ba9ed96bd0570fb8ce8"/>
                    <pic:cNvPicPr>
                      <a:picLocks noChangeAspect="1"/>
                    </pic:cNvPicPr>
                  </pic:nvPicPr>
                  <pic:blipFill>
                    <a:blip r:embed="rId11"/>
                    <a:stretch>
                      <a:fillRect/>
                    </a:stretch>
                  </pic:blipFill>
                  <pic:spPr>
                    <a:xfrm>
                      <a:off x="0" y="0"/>
                      <a:ext cx="1174750" cy="1779270"/>
                    </a:xfrm>
                    <a:prstGeom prst="rect">
                      <a:avLst/>
                    </a:prstGeom>
                  </pic:spPr>
                </pic:pic>
              </a:graphicData>
            </a:graphic>
          </wp:anchor>
        </w:drawing>
      </w:r>
    </w:p>
    <w:p w14:paraId="6F25DCB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楷体" w:hAnsi="楷体" w:eastAsia="楷体" w:cs="楷体"/>
          <w:spacing w:val="0"/>
          <w:sz w:val="24"/>
        </w:rPr>
      </w:pPr>
    </w:p>
    <w:p w14:paraId="00FF5F0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楷体" w:hAnsi="楷体" w:eastAsia="楷体" w:cs="楷体"/>
          <w:spacing w:val="0"/>
          <w:sz w:val="24"/>
        </w:rPr>
      </w:pPr>
    </w:p>
    <w:p w14:paraId="3F3C4C6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楷体" w:hAnsi="楷体" w:eastAsia="楷体" w:cs="楷体"/>
          <w:spacing w:val="0"/>
          <w:sz w:val="24"/>
        </w:rPr>
      </w:pPr>
    </w:p>
    <w:p w14:paraId="7BE57BD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楷体" w:hAnsi="楷体" w:eastAsia="楷体" w:cs="楷体"/>
          <w:spacing w:val="0"/>
          <w:sz w:val="24"/>
        </w:rPr>
      </w:pPr>
    </w:p>
    <w:p w14:paraId="0D9D14A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楷体" w:hAnsi="楷体" w:eastAsia="楷体" w:cs="楷体"/>
          <w:spacing w:val="0"/>
          <w:sz w:val="24"/>
        </w:rPr>
      </w:pPr>
    </w:p>
    <w:p w14:paraId="6F07C7C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楷体" w:hAnsi="楷体" w:eastAsia="楷体" w:cs="楷体"/>
          <w:spacing w:val="0"/>
          <w:sz w:val="24"/>
        </w:rPr>
      </w:pPr>
    </w:p>
    <w:p w14:paraId="6954416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楷体" w:hAnsi="楷体" w:eastAsia="楷体" w:cs="楷体"/>
          <w:spacing w:val="0"/>
          <w:sz w:val="24"/>
        </w:rPr>
      </w:pPr>
      <w:bookmarkStart w:id="4" w:name="_GoBack"/>
      <w:bookmarkEnd w:id="4"/>
    </w:p>
    <w:p w14:paraId="59806C3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 w:hAnsi="楷体" w:eastAsia="楷体" w:cs="楷体"/>
          <w:b/>
          <w:bCs/>
          <w:spacing w:val="0"/>
          <w:sz w:val="24"/>
        </w:rPr>
      </w:pPr>
      <w:r>
        <w:rPr>
          <w:rFonts w:hint="eastAsia" w:ascii="楷体" w:hAnsi="楷体" w:eastAsia="楷体" w:cs="楷体"/>
          <w:b/>
          <w:bCs/>
          <w:spacing w:val="0"/>
          <w:sz w:val="24"/>
        </w:rPr>
        <w:t>技术参数</w:t>
      </w:r>
    </w:p>
    <w:p w14:paraId="78149CB9">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625" w:hanging="405"/>
        <w:textAlignment w:val="auto"/>
        <w:rPr>
          <w:rFonts w:hint="eastAsia" w:ascii="楷体" w:hAnsi="楷体" w:eastAsia="楷体" w:cs="楷体"/>
          <w:spacing w:val="0"/>
          <w:sz w:val="24"/>
        </w:rPr>
      </w:pPr>
      <w:r>
        <w:rPr>
          <w:rFonts w:hint="eastAsia" w:ascii="楷体" w:hAnsi="楷体" w:eastAsia="楷体" w:cs="楷体"/>
          <w:spacing w:val="0"/>
          <w:sz w:val="24"/>
        </w:rPr>
        <w:t>输出功率：在负载电阻为10Ω时，输出功率大于</w:t>
      </w:r>
      <w:r>
        <w:rPr>
          <w:rFonts w:hint="eastAsia" w:ascii="楷体" w:hAnsi="楷体" w:eastAsia="楷体" w:cs="楷体"/>
          <w:spacing w:val="0"/>
          <w:sz w:val="24"/>
          <w:lang w:val="en-US" w:eastAsia="zh-CN"/>
        </w:rPr>
        <w:t>6</w:t>
      </w:r>
      <w:r>
        <w:rPr>
          <w:rFonts w:hint="eastAsia" w:ascii="楷体" w:hAnsi="楷体" w:eastAsia="楷体" w:cs="楷体"/>
          <w:spacing w:val="0"/>
          <w:sz w:val="24"/>
        </w:rPr>
        <w:t>0W，并且连续可调。</w:t>
      </w:r>
    </w:p>
    <w:p w14:paraId="0EEB33BB">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625" w:hanging="405"/>
        <w:textAlignment w:val="auto"/>
        <w:rPr>
          <w:rFonts w:hint="eastAsia" w:ascii="楷体" w:hAnsi="楷体" w:eastAsia="楷体" w:cs="楷体"/>
          <w:spacing w:val="0"/>
          <w:sz w:val="24"/>
        </w:rPr>
      </w:pPr>
      <w:r>
        <w:rPr>
          <w:rFonts w:hint="eastAsia" w:ascii="楷体" w:hAnsi="楷体" w:eastAsia="楷体" w:cs="楷体"/>
          <w:spacing w:val="0"/>
          <w:sz w:val="24"/>
        </w:rPr>
        <w:t>工作频率：15kHz</w:t>
      </w:r>
    </w:p>
    <w:p w14:paraId="3FD9843E">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625" w:hanging="405"/>
        <w:textAlignment w:val="auto"/>
        <w:rPr>
          <w:rFonts w:hint="eastAsia" w:ascii="楷体" w:hAnsi="楷体" w:eastAsia="楷体" w:cs="楷体"/>
          <w:spacing w:val="0"/>
          <w:sz w:val="24"/>
        </w:rPr>
      </w:pPr>
      <w:r>
        <w:rPr>
          <w:rFonts w:hint="eastAsia" w:ascii="楷体" w:hAnsi="楷体" w:eastAsia="楷体" w:cs="楷体"/>
          <w:spacing w:val="0"/>
          <w:sz w:val="24"/>
        </w:rPr>
        <w:t>工作方式：断续、等幅、调幅</w:t>
      </w:r>
    </w:p>
    <w:p w14:paraId="3B8AB50A">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625" w:hanging="405"/>
        <w:textAlignment w:val="auto"/>
        <w:rPr>
          <w:rFonts w:hint="eastAsia" w:ascii="楷体" w:hAnsi="楷体" w:eastAsia="楷体" w:cs="楷体"/>
          <w:spacing w:val="0"/>
          <w:sz w:val="24"/>
        </w:rPr>
      </w:pPr>
      <w:r>
        <w:rPr>
          <w:rFonts w:hint="eastAsia" w:ascii="楷体" w:hAnsi="楷体" w:eastAsia="楷体" w:cs="楷体"/>
          <w:spacing w:val="0"/>
          <w:sz w:val="24"/>
        </w:rPr>
        <w:t>路径探测方式：波谷法</w:t>
      </w:r>
    </w:p>
    <w:p w14:paraId="376E60F4">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625" w:hanging="405"/>
        <w:textAlignment w:val="auto"/>
        <w:rPr>
          <w:rFonts w:hint="eastAsia" w:ascii="楷体" w:hAnsi="楷体" w:eastAsia="楷体" w:cs="楷体"/>
          <w:spacing w:val="0"/>
          <w:sz w:val="24"/>
        </w:rPr>
      </w:pPr>
      <w:r>
        <w:rPr>
          <w:rFonts w:hint="eastAsia" w:ascii="楷体" w:hAnsi="楷体" w:eastAsia="楷体" w:cs="楷体"/>
          <w:spacing w:val="0"/>
          <w:sz w:val="24"/>
        </w:rPr>
        <w:t>调制频率：400～1000Hz，等幅输出适合差拍式接收机，调幅输出适合直放式倍压检波接收机。</w:t>
      </w:r>
    </w:p>
    <w:p w14:paraId="435E86E2">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625" w:hanging="405"/>
        <w:textAlignment w:val="auto"/>
        <w:rPr>
          <w:rFonts w:hint="eastAsia" w:ascii="楷体" w:hAnsi="楷体" w:eastAsia="楷体" w:cs="楷体"/>
          <w:spacing w:val="0"/>
          <w:sz w:val="24"/>
        </w:rPr>
      </w:pPr>
      <w:r>
        <w:rPr>
          <w:rFonts w:hint="eastAsia" w:ascii="楷体" w:hAnsi="楷体" w:eastAsia="楷体" w:cs="楷体"/>
          <w:spacing w:val="0"/>
          <w:sz w:val="24"/>
        </w:rPr>
        <w:t>具有自动过热、过载保护、过载保护功能，可连续工作8小时以上。</w:t>
      </w:r>
    </w:p>
    <w:p w14:paraId="4014CE0A">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625" w:hanging="405"/>
        <w:textAlignment w:val="auto"/>
        <w:rPr>
          <w:rFonts w:hint="eastAsia" w:ascii="楷体" w:hAnsi="楷体" w:eastAsia="楷体" w:cs="楷体"/>
          <w:spacing w:val="0"/>
          <w:sz w:val="24"/>
        </w:rPr>
      </w:pPr>
      <w:r>
        <w:rPr>
          <w:rFonts w:hint="eastAsia" w:ascii="楷体" w:hAnsi="楷体" w:eastAsia="楷体" w:cs="楷体"/>
          <w:spacing w:val="0"/>
          <w:sz w:val="24"/>
        </w:rPr>
        <w:t>工作电源：AC 220V ±10%,50Hz</w:t>
      </w:r>
    </w:p>
    <w:p w14:paraId="51D44130">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625" w:hanging="405"/>
        <w:textAlignment w:val="auto"/>
        <w:rPr>
          <w:rFonts w:hint="eastAsia" w:ascii="楷体" w:hAnsi="楷体" w:eastAsia="楷体" w:cs="楷体"/>
          <w:spacing w:val="0"/>
          <w:sz w:val="24"/>
        </w:rPr>
      </w:pPr>
      <w:r>
        <w:rPr>
          <w:rFonts w:hint="eastAsia" w:ascii="楷体" w:hAnsi="楷体" w:eastAsia="楷体" w:cs="楷体"/>
          <w:spacing w:val="0"/>
          <w:sz w:val="24"/>
        </w:rPr>
        <w:t>环境条件：温度-20～50℃，湿度小于95%</w:t>
      </w:r>
    </w:p>
    <w:p w14:paraId="67DECDAB">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625" w:hanging="405"/>
        <w:textAlignment w:val="auto"/>
        <w:rPr>
          <w:rFonts w:hint="eastAsia" w:ascii="楷体" w:hAnsi="楷体" w:eastAsia="楷体" w:cs="楷体"/>
          <w:spacing w:val="0"/>
          <w:sz w:val="24"/>
        </w:rPr>
      </w:pPr>
      <w:r>
        <w:rPr>
          <w:rFonts w:hint="eastAsia" w:ascii="楷体" w:hAnsi="楷体" w:eastAsia="楷体" w:cs="楷体"/>
          <w:spacing w:val="0"/>
          <w:sz w:val="24"/>
        </w:rPr>
        <w:t>外形尺寸：</w:t>
      </w:r>
      <w:r>
        <w:rPr>
          <w:rFonts w:hint="eastAsia" w:ascii="楷体" w:hAnsi="楷体" w:eastAsia="楷体" w:cs="楷体"/>
          <w:spacing w:val="0"/>
          <w:sz w:val="24"/>
          <w:lang w:bidi="ar"/>
        </w:rPr>
        <w:t>长415mm×宽319mm×高168mm</w:t>
      </w:r>
    </w:p>
    <w:p w14:paraId="7AD8D893">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625" w:hanging="405"/>
        <w:textAlignment w:val="auto"/>
        <w:rPr>
          <w:rFonts w:hint="eastAsia" w:ascii="楷体" w:hAnsi="楷体" w:eastAsia="楷体" w:cs="楷体"/>
          <w:spacing w:val="0"/>
          <w:sz w:val="24"/>
        </w:rPr>
      </w:pPr>
      <w:r>
        <w:rPr>
          <w:rFonts w:hint="eastAsia" w:ascii="楷体" w:hAnsi="楷体" w:eastAsia="楷体" w:cs="楷体"/>
          <w:spacing w:val="0"/>
          <w:sz w:val="24"/>
          <w:lang w:bidi="ar"/>
        </w:rPr>
        <w:t>重    量：6.</w:t>
      </w:r>
      <w:r>
        <w:rPr>
          <w:rFonts w:hint="eastAsia" w:ascii="楷体" w:hAnsi="楷体" w:eastAsia="楷体" w:cs="楷体"/>
          <w:spacing w:val="0"/>
          <w:sz w:val="24"/>
          <w:lang w:val="en-US" w:eastAsia="zh-CN" w:bidi="ar"/>
        </w:rPr>
        <w:t>20</w:t>
      </w:r>
      <w:r>
        <w:rPr>
          <w:rFonts w:hint="eastAsia" w:ascii="楷体" w:hAnsi="楷体" w:eastAsia="楷体" w:cs="楷体"/>
          <w:spacing w:val="0"/>
          <w:sz w:val="24"/>
          <w:lang w:bidi="ar"/>
        </w:rPr>
        <w:t>kg</w:t>
      </w:r>
    </w:p>
    <w:p w14:paraId="0D6764E8">
      <w:pPr>
        <w:keepNext w:val="0"/>
        <w:keepLines w:val="0"/>
        <w:pageBreakBefore w:val="0"/>
        <w:widowControl w:val="0"/>
        <w:kinsoku/>
        <w:wordWrap/>
        <w:overflowPunct/>
        <w:topLinePunct w:val="0"/>
        <w:autoSpaceDN/>
        <w:bidi w:val="0"/>
        <w:adjustRightInd/>
        <w:spacing w:line="520" w:lineRule="exact"/>
        <w:textAlignment w:val="auto"/>
        <w:outlineLvl w:val="0"/>
        <w:rPr>
          <w:rFonts w:hint="eastAsia" w:ascii="楷体" w:hAnsi="楷体" w:eastAsia="楷体" w:cs="楷体"/>
          <w:b/>
          <w:bCs/>
          <w:spacing w:val="0"/>
          <w:sz w:val="28"/>
          <w:szCs w:val="28"/>
        </w:rPr>
      </w:pPr>
      <w:r>
        <w:rPr>
          <w:rFonts w:hint="eastAsia" w:ascii="楷体" w:hAnsi="楷体" w:eastAsia="楷体" w:cs="楷体"/>
          <w:b/>
          <w:bCs/>
          <w:spacing w:val="0"/>
          <w:sz w:val="28"/>
          <w:szCs w:val="28"/>
        </w:rPr>
        <w:t>三、</w:t>
      </w:r>
      <w:r>
        <w:rPr>
          <w:rFonts w:hint="eastAsia" w:ascii="楷体" w:hAnsi="楷体" w:eastAsia="楷体" w:cs="楷体"/>
          <w:b/>
          <w:bCs/>
          <w:spacing w:val="0"/>
          <w:sz w:val="28"/>
          <w:szCs w:val="28"/>
          <w:lang w:eastAsia="zh-CN"/>
        </w:rPr>
        <w:t>HNE-02</w:t>
      </w:r>
      <w:bookmarkEnd w:id="0"/>
      <w:bookmarkEnd w:id="1"/>
      <w:bookmarkEnd w:id="2"/>
      <w:r>
        <w:rPr>
          <w:rFonts w:hint="eastAsia" w:ascii="楷体" w:hAnsi="楷体" w:eastAsia="楷体" w:cs="楷体"/>
          <w:b/>
          <w:bCs/>
          <w:spacing w:val="0"/>
          <w:sz w:val="28"/>
          <w:szCs w:val="28"/>
          <w:lang w:val="en-US" w:eastAsia="zh-CN"/>
        </w:rPr>
        <w:t>电缆故障定点仪</w:t>
      </w:r>
    </w:p>
    <w:p w14:paraId="61835670">
      <w:pPr>
        <w:keepNext w:val="0"/>
        <w:keepLines w:val="0"/>
        <w:pageBreakBefore w:val="0"/>
        <w:widowControl w:val="0"/>
        <w:kinsoku/>
        <w:wordWrap/>
        <w:overflowPunct/>
        <w:topLinePunct w:val="0"/>
        <w:autoSpaceDE w:val="0"/>
        <w:autoSpaceDN/>
        <w:bidi w:val="0"/>
        <w:adjustRightInd/>
        <w:spacing w:line="520" w:lineRule="exact"/>
        <w:textAlignment w:val="auto"/>
        <w:rPr>
          <w:rFonts w:hint="eastAsia" w:ascii="楷体" w:hAnsi="楷体" w:eastAsia="楷体" w:cs="楷体"/>
          <w:b/>
          <w:bCs/>
          <w:spacing w:val="0"/>
          <w:sz w:val="28"/>
          <w:szCs w:val="28"/>
        </w:rPr>
      </w:pPr>
      <w:r>
        <w:rPr>
          <w:rFonts w:hint="eastAsia" w:ascii="楷体" w:hAnsi="楷体" w:eastAsia="楷体" w:cs="楷体"/>
          <w:b/>
          <w:bCs/>
          <w:spacing w:val="0"/>
          <w:sz w:val="28"/>
          <w:szCs w:val="28"/>
          <w:lang w:bidi="ar"/>
        </w:rPr>
        <w:t>产品简介</w:t>
      </w:r>
    </w:p>
    <w:p w14:paraId="4042E9CE">
      <w:pPr>
        <w:pStyle w:val="11"/>
        <w:keepNext w:val="0"/>
        <w:keepLines w:val="0"/>
        <w:pageBreakBefore w:val="0"/>
        <w:widowControl w:val="0"/>
        <w:kinsoku/>
        <w:wordWrap/>
        <w:overflowPunct/>
        <w:topLinePunct w:val="0"/>
        <w:autoSpaceDN/>
        <w:bidi w:val="0"/>
        <w:adjustRightInd/>
        <w:snapToGrid w:val="0"/>
        <w:spacing w:after="0" w:line="520" w:lineRule="exact"/>
        <w:ind w:left="0" w:leftChars="0" w:firstLine="448"/>
        <w:textAlignment w:val="auto"/>
        <w:rPr>
          <w:rFonts w:hint="eastAsia" w:ascii="楷体" w:hAnsi="楷体" w:eastAsia="楷体" w:cs="楷体"/>
          <w:spacing w:val="0"/>
          <w:sz w:val="24"/>
        </w:rPr>
      </w:pPr>
      <w:r>
        <w:rPr>
          <w:rFonts w:hint="eastAsia" w:ascii="楷体" w:hAnsi="楷体" w:eastAsia="楷体" w:cs="楷体"/>
          <w:spacing w:val="0"/>
          <w:sz w:val="24"/>
        </w:rPr>
        <w:t>本产品用于埋地电缆绝缘故障点的快速、精确定位及电缆埋设路径的准确探测。</w:t>
      </w:r>
    </w:p>
    <w:p w14:paraId="3CFC9DF7">
      <w:pPr>
        <w:pStyle w:val="6"/>
        <w:keepNext w:val="0"/>
        <w:keepLines w:val="0"/>
        <w:pageBreakBefore w:val="0"/>
        <w:widowControl w:val="0"/>
        <w:kinsoku/>
        <w:wordWrap/>
        <w:overflowPunct/>
        <w:topLinePunct w:val="0"/>
        <w:autoSpaceDE/>
        <w:autoSpaceDN/>
        <w:bidi w:val="0"/>
        <w:adjustRightInd/>
        <w:snapToGrid w:val="0"/>
        <w:spacing w:line="520" w:lineRule="exact"/>
        <w:ind w:left="0" w:firstLine="0"/>
        <w:textAlignment w:val="auto"/>
        <w:outlineLvl w:val="9"/>
        <w:rPr>
          <w:rFonts w:hint="eastAsia" w:ascii="楷体" w:hAnsi="楷体" w:eastAsia="楷体" w:cs="楷体"/>
          <w:b/>
          <w:bCs/>
          <w:spacing w:val="0"/>
          <w:sz w:val="28"/>
          <w:szCs w:val="28"/>
        </w:rPr>
      </w:pPr>
      <w:r>
        <w:rPr>
          <w:rFonts w:hint="eastAsia" w:ascii="楷体" w:hAnsi="楷体" w:eastAsia="楷体" w:cs="楷体"/>
          <w:b/>
          <w:bCs/>
          <w:spacing w:val="0"/>
          <w:sz w:val="28"/>
          <w:szCs w:val="28"/>
        </w:rPr>
        <w:t>主要特点</w:t>
      </w:r>
    </w:p>
    <w:p w14:paraId="746B9C66">
      <w:pPr>
        <w:pStyle w:val="11"/>
        <w:keepNext w:val="0"/>
        <w:keepLines w:val="0"/>
        <w:pageBreakBefore w:val="0"/>
        <w:widowControl w:val="0"/>
        <w:kinsoku/>
        <w:wordWrap/>
        <w:overflowPunct/>
        <w:topLinePunct w:val="0"/>
        <w:autoSpaceDN/>
        <w:bidi w:val="0"/>
        <w:adjustRightInd/>
        <w:snapToGrid w:val="0"/>
        <w:spacing w:after="0" w:line="520" w:lineRule="exact"/>
        <w:ind w:left="0" w:leftChars="0" w:firstLine="480"/>
        <w:textAlignment w:val="auto"/>
        <w:rPr>
          <w:rFonts w:hint="eastAsia" w:ascii="楷体" w:hAnsi="楷体" w:eastAsia="楷体" w:cs="楷体"/>
          <w:spacing w:val="0"/>
          <w:sz w:val="24"/>
        </w:rPr>
      </w:pPr>
      <w:r>
        <w:rPr>
          <w:rFonts w:hint="eastAsia" w:ascii="楷体" w:hAnsi="楷体" w:eastAsia="楷体" w:cs="楷体"/>
          <w:spacing w:val="0"/>
        </w:rPr>
        <w:drawing>
          <wp:anchor distT="0" distB="0" distL="114300" distR="114300" simplePos="0" relativeHeight="251660288" behindDoc="0" locked="0" layoutInCell="1" allowOverlap="1">
            <wp:simplePos x="0" y="0"/>
            <wp:positionH relativeFrom="column">
              <wp:posOffset>3635375</wp:posOffset>
            </wp:positionH>
            <wp:positionV relativeFrom="paragraph">
              <wp:posOffset>55880</wp:posOffset>
            </wp:positionV>
            <wp:extent cx="1893570" cy="2485390"/>
            <wp:effectExtent l="0" t="0" r="11430" b="13970"/>
            <wp:wrapSquare wrapText="bothSides"/>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1893570" cy="2485390"/>
                    </a:xfrm>
                    <a:prstGeom prst="rect">
                      <a:avLst/>
                    </a:prstGeom>
                    <a:noFill/>
                    <a:ln>
                      <a:noFill/>
                    </a:ln>
                  </pic:spPr>
                </pic:pic>
              </a:graphicData>
            </a:graphic>
          </wp:anchor>
        </w:drawing>
      </w:r>
      <w:r>
        <w:rPr>
          <w:rFonts w:hint="eastAsia" w:ascii="楷体" w:hAnsi="楷体" w:eastAsia="楷体" w:cs="楷体"/>
          <w:spacing w:val="0"/>
          <w:lang w:eastAsia="zh-CN"/>
        </w:rPr>
        <w:t>1.</w:t>
      </w:r>
      <w:r>
        <w:rPr>
          <w:rFonts w:hint="eastAsia" w:ascii="楷体" w:hAnsi="楷体" w:eastAsia="楷体" w:cs="楷体"/>
          <w:spacing w:val="0"/>
          <w:sz w:val="24"/>
        </w:rPr>
        <w:t>用特殊结构的声波振动传感器及低噪声专用器件作前置放大，大大提高了仪器定点和路径探测的灵敏度。在信号处理技术上，用数字显示故障点与传感探头间的距离，极大地消除了定点时的盲目性。</w:t>
      </w:r>
    </w:p>
    <w:p w14:paraId="25FA2D40">
      <w:pPr>
        <w:pStyle w:val="11"/>
        <w:keepNext w:val="0"/>
        <w:keepLines w:val="0"/>
        <w:pageBreakBefore w:val="0"/>
        <w:widowControl w:val="0"/>
        <w:kinsoku/>
        <w:wordWrap/>
        <w:overflowPunct/>
        <w:topLinePunct w:val="0"/>
        <w:autoSpaceDN/>
        <w:bidi w:val="0"/>
        <w:adjustRightInd/>
        <w:snapToGrid w:val="0"/>
        <w:spacing w:after="0" w:line="520" w:lineRule="exact"/>
        <w:ind w:left="0" w:leftChars="0" w:firstLine="480"/>
        <w:textAlignment w:val="auto"/>
        <w:rPr>
          <w:rFonts w:hint="eastAsia" w:ascii="楷体" w:hAnsi="楷体" w:eastAsia="楷体" w:cs="楷体"/>
          <w:spacing w:val="0"/>
          <w:sz w:val="24"/>
        </w:rPr>
      </w:pPr>
      <w:r>
        <w:rPr>
          <w:rFonts w:hint="eastAsia" w:ascii="楷体" w:hAnsi="楷体" w:eastAsia="楷体" w:cs="楷体"/>
          <w:spacing w:val="0"/>
          <w:sz w:val="24"/>
          <w:lang w:eastAsia="zh-CN"/>
        </w:rPr>
        <w:t>2.</w:t>
      </w:r>
      <w:r>
        <w:rPr>
          <w:rFonts w:hint="eastAsia" w:ascii="楷体" w:hAnsi="楷体" w:eastAsia="楷体" w:cs="楷体"/>
          <w:spacing w:val="0"/>
          <w:sz w:val="24"/>
        </w:rPr>
        <w:t>缆沟内架空的故障电缆，过去定点时，全电缆的振动声使任何定点仪束手无策，无法判定封闭性故障的具体位置。如今，只要将本仪器传感器探头接触故障电缆或近旁的电缆上，便可精确显示故障距离及方向，毫不费力地快速确定故障位置。</w:t>
      </w:r>
    </w:p>
    <w:p w14:paraId="6667942A">
      <w:pPr>
        <w:pStyle w:val="11"/>
        <w:keepNext w:val="0"/>
        <w:keepLines w:val="0"/>
        <w:pageBreakBefore w:val="0"/>
        <w:widowControl w:val="0"/>
        <w:kinsoku/>
        <w:wordWrap/>
        <w:overflowPunct/>
        <w:topLinePunct w:val="0"/>
        <w:autoSpaceDN/>
        <w:bidi w:val="0"/>
        <w:adjustRightInd/>
        <w:snapToGrid w:val="0"/>
        <w:spacing w:after="0" w:line="520" w:lineRule="exact"/>
        <w:ind w:left="0" w:leftChars="0" w:firstLine="480"/>
        <w:textAlignment w:val="auto"/>
        <w:rPr>
          <w:rFonts w:hint="eastAsia" w:ascii="楷体" w:hAnsi="楷体" w:eastAsia="楷体" w:cs="楷体"/>
          <w:spacing w:val="0"/>
          <w:sz w:val="24"/>
        </w:rPr>
      </w:pPr>
      <w:r>
        <w:rPr>
          <w:rFonts w:hint="eastAsia" w:ascii="楷体" w:hAnsi="楷体" w:eastAsia="楷体" w:cs="楷体"/>
          <w:spacing w:val="0"/>
          <w:sz w:val="24"/>
          <w:lang w:eastAsia="zh-CN"/>
        </w:rPr>
        <w:t>3.</w:t>
      </w:r>
      <w:r>
        <w:rPr>
          <w:rFonts w:hint="eastAsia" w:ascii="楷体" w:hAnsi="楷体" w:eastAsia="楷体" w:cs="楷体"/>
          <w:spacing w:val="0"/>
          <w:sz w:val="24"/>
        </w:rPr>
        <w:t xml:space="preserve">工频自适应对消理论及高工频陷波技术，大大加强了在强工频电场环境中对50Hz工频信号的抑制及抗干扰能力，缩小了定点盲区。在仪器功能上，利用声电同步接收显示技术，有效地克服了定点现场环境噪音干扰造成的定点困难问题。尤其是故障距离的数字显示省去了操作员对复杂波形的分析判断，在相当程度上替代了闪测仪的粗测距离功能。对于数百米长的故障电缆，一般不用粗测便可实施定点，真正实现了高效、快速、准确。利用15kHz幅度调制电磁波和幅度检波技术作路径探测和电缆埋设深度测定，避免了原等幅15kHz信号源时电视机行频对定点仪的干扰。 </w:t>
      </w:r>
    </w:p>
    <w:p w14:paraId="04D9CB99">
      <w:pPr>
        <w:pStyle w:val="11"/>
        <w:keepNext w:val="0"/>
        <w:keepLines w:val="0"/>
        <w:pageBreakBefore w:val="0"/>
        <w:widowControl w:val="0"/>
        <w:kinsoku/>
        <w:wordWrap/>
        <w:overflowPunct/>
        <w:topLinePunct w:val="0"/>
        <w:autoSpaceDN/>
        <w:bidi w:val="0"/>
        <w:adjustRightInd/>
        <w:snapToGrid w:val="0"/>
        <w:spacing w:after="0" w:line="520" w:lineRule="exact"/>
        <w:ind w:left="0" w:leftChars="0" w:firstLine="480"/>
        <w:textAlignment w:val="auto"/>
        <w:rPr>
          <w:rFonts w:hint="eastAsia" w:ascii="楷体" w:hAnsi="楷体" w:eastAsia="楷体" w:cs="楷体"/>
          <w:spacing w:val="0"/>
          <w:sz w:val="24"/>
        </w:rPr>
      </w:pPr>
      <w:r>
        <w:rPr>
          <w:rFonts w:hint="eastAsia" w:ascii="楷体" w:hAnsi="楷体" w:eastAsia="楷体" w:cs="楷体"/>
          <w:spacing w:val="0"/>
          <w:sz w:val="24"/>
          <w:lang w:eastAsia="zh-CN"/>
        </w:rPr>
        <w:t>4.</w:t>
      </w:r>
      <w:r>
        <w:rPr>
          <w:rFonts w:hint="eastAsia" w:ascii="楷体" w:hAnsi="楷体" w:eastAsia="楷体" w:cs="楷体"/>
          <w:spacing w:val="0"/>
          <w:sz w:val="24"/>
        </w:rPr>
        <w:t>操作极其简便，打开电源开关即可，</w:t>
      </w:r>
      <w:r>
        <w:rPr>
          <w:rFonts w:hint="eastAsia" w:ascii="楷体" w:hAnsi="楷体" w:eastAsia="楷体" w:cs="楷体"/>
          <w:spacing w:val="0"/>
          <w:sz w:val="24"/>
          <w:lang w:eastAsia="zh-CN"/>
        </w:rPr>
        <w:t>无需</w:t>
      </w:r>
      <w:r>
        <w:rPr>
          <w:rFonts w:hint="eastAsia" w:ascii="楷体" w:hAnsi="楷体" w:eastAsia="楷体" w:cs="楷体"/>
          <w:spacing w:val="0"/>
          <w:sz w:val="24"/>
        </w:rPr>
        <w:t>换挡和功能选择。结构紧凑、小巧、模块化，便于携带维修，功能强大。</w:t>
      </w:r>
    </w:p>
    <w:p w14:paraId="3A9C868C">
      <w:pPr>
        <w:pStyle w:val="6"/>
        <w:keepNext w:val="0"/>
        <w:keepLines w:val="0"/>
        <w:pageBreakBefore w:val="0"/>
        <w:widowControl w:val="0"/>
        <w:kinsoku/>
        <w:wordWrap/>
        <w:overflowPunct/>
        <w:topLinePunct w:val="0"/>
        <w:autoSpaceDE/>
        <w:autoSpaceDN/>
        <w:bidi w:val="0"/>
        <w:adjustRightInd/>
        <w:snapToGrid w:val="0"/>
        <w:spacing w:line="520" w:lineRule="exact"/>
        <w:ind w:left="0" w:firstLine="0"/>
        <w:textAlignment w:val="auto"/>
        <w:outlineLvl w:val="9"/>
        <w:rPr>
          <w:rFonts w:hint="eastAsia" w:ascii="楷体" w:hAnsi="楷体" w:eastAsia="楷体" w:cs="楷体"/>
          <w:b/>
          <w:bCs/>
          <w:spacing w:val="0"/>
          <w:sz w:val="28"/>
          <w:szCs w:val="28"/>
        </w:rPr>
      </w:pPr>
      <w:r>
        <w:rPr>
          <w:rFonts w:hint="eastAsia" w:ascii="楷体" w:hAnsi="楷体" w:eastAsia="楷体" w:cs="楷体"/>
          <w:b/>
          <w:bCs/>
          <w:spacing w:val="0"/>
          <w:sz w:val="28"/>
          <w:szCs w:val="28"/>
        </w:rPr>
        <w:t>技术参数</w:t>
      </w:r>
    </w:p>
    <w:p w14:paraId="02C232A4">
      <w:pPr>
        <w:pStyle w:val="3"/>
        <w:keepNext w:val="0"/>
        <w:keepLines w:val="0"/>
        <w:pageBreakBefore w:val="0"/>
        <w:widowControl w:val="0"/>
        <w:kinsoku/>
        <w:wordWrap/>
        <w:overflowPunct/>
        <w:topLinePunct w:val="0"/>
        <w:autoSpaceDN/>
        <w:bidi w:val="0"/>
        <w:adjustRightInd/>
        <w:snapToGrid w:val="0"/>
        <w:spacing w:line="520" w:lineRule="exact"/>
        <w:ind w:left="420" w:leftChars="175" w:hanging="52" w:hangingChars="22"/>
        <w:textAlignment w:val="auto"/>
        <w:rPr>
          <w:rFonts w:hint="eastAsia" w:ascii="楷体" w:hAnsi="楷体" w:eastAsia="楷体" w:cs="楷体"/>
          <w:spacing w:val="0"/>
          <w:sz w:val="24"/>
          <w:szCs w:val="24"/>
        </w:rPr>
      </w:pPr>
      <w:r>
        <w:rPr>
          <w:rFonts w:hint="eastAsia" w:ascii="楷体" w:hAnsi="楷体" w:eastAsia="楷体" w:cs="楷体"/>
          <w:spacing w:val="0"/>
          <w:sz w:val="24"/>
          <w:szCs w:val="24"/>
          <w:lang w:eastAsia="zh-CN"/>
        </w:rPr>
        <w:t>1.</w:t>
      </w:r>
      <w:r>
        <w:rPr>
          <w:rFonts w:hint="eastAsia" w:ascii="楷体" w:hAnsi="楷体" w:eastAsia="楷体" w:cs="楷体"/>
          <w:spacing w:val="0"/>
          <w:sz w:val="24"/>
          <w:szCs w:val="24"/>
        </w:rPr>
        <w:t>数显距离：最大500米，最小0.1米。</w:t>
      </w:r>
    </w:p>
    <w:p w14:paraId="5C74C4A9">
      <w:pPr>
        <w:pStyle w:val="3"/>
        <w:keepNext w:val="0"/>
        <w:keepLines w:val="0"/>
        <w:pageBreakBefore w:val="0"/>
        <w:widowControl w:val="0"/>
        <w:kinsoku/>
        <w:wordWrap/>
        <w:overflowPunct/>
        <w:topLinePunct w:val="0"/>
        <w:autoSpaceDN/>
        <w:bidi w:val="0"/>
        <w:adjustRightInd/>
        <w:snapToGrid w:val="0"/>
        <w:spacing w:line="520" w:lineRule="exact"/>
        <w:ind w:left="420" w:leftChars="175" w:hanging="52" w:hangingChars="22"/>
        <w:textAlignment w:val="auto"/>
        <w:rPr>
          <w:rFonts w:hint="eastAsia" w:ascii="楷体" w:hAnsi="楷体" w:eastAsia="楷体" w:cs="楷体"/>
          <w:spacing w:val="0"/>
          <w:sz w:val="24"/>
          <w:szCs w:val="24"/>
        </w:rPr>
      </w:pPr>
      <w:r>
        <w:rPr>
          <w:rFonts w:hint="eastAsia" w:ascii="楷体" w:hAnsi="楷体" w:eastAsia="楷体" w:cs="楷体"/>
          <w:spacing w:val="0"/>
          <w:sz w:val="24"/>
          <w:szCs w:val="24"/>
          <w:lang w:eastAsia="zh-CN"/>
        </w:rPr>
        <w:t>2.</w:t>
      </w:r>
      <w:r>
        <w:rPr>
          <w:rFonts w:hint="eastAsia" w:ascii="楷体" w:hAnsi="楷体" w:eastAsia="楷体" w:cs="楷体"/>
          <w:spacing w:val="0"/>
          <w:sz w:val="24"/>
          <w:szCs w:val="24"/>
        </w:rPr>
        <w:t>粗测误差小于10%，定点误差为零。</w:t>
      </w:r>
    </w:p>
    <w:p w14:paraId="11F67E3B">
      <w:pPr>
        <w:pStyle w:val="3"/>
        <w:keepNext w:val="0"/>
        <w:keepLines w:val="0"/>
        <w:pageBreakBefore w:val="0"/>
        <w:widowControl w:val="0"/>
        <w:kinsoku/>
        <w:wordWrap/>
        <w:overflowPunct/>
        <w:topLinePunct w:val="0"/>
        <w:autoSpaceDN/>
        <w:bidi w:val="0"/>
        <w:adjustRightInd/>
        <w:snapToGrid w:val="0"/>
        <w:spacing w:line="520" w:lineRule="exact"/>
        <w:ind w:left="420" w:leftChars="175" w:hanging="52" w:hangingChars="22"/>
        <w:textAlignment w:val="auto"/>
        <w:rPr>
          <w:rFonts w:hint="eastAsia" w:ascii="楷体" w:hAnsi="楷体" w:eastAsia="楷体" w:cs="楷体"/>
          <w:spacing w:val="0"/>
          <w:sz w:val="24"/>
          <w:szCs w:val="24"/>
        </w:rPr>
      </w:pPr>
      <w:r>
        <w:rPr>
          <w:rFonts w:hint="eastAsia" w:ascii="楷体" w:hAnsi="楷体" w:eastAsia="楷体" w:cs="楷体"/>
          <w:spacing w:val="0"/>
          <w:sz w:val="24"/>
          <w:szCs w:val="24"/>
          <w:lang w:eastAsia="zh-CN"/>
        </w:rPr>
        <w:t>3.</w:t>
      </w:r>
      <w:r>
        <w:rPr>
          <w:rFonts w:hint="eastAsia" w:ascii="楷体" w:hAnsi="楷体" w:eastAsia="楷体" w:cs="楷体"/>
          <w:spacing w:val="0"/>
          <w:sz w:val="24"/>
          <w:szCs w:val="24"/>
        </w:rPr>
        <w:t>电磁通道增益≥110dB。</w:t>
      </w:r>
    </w:p>
    <w:p w14:paraId="04C87F4D">
      <w:pPr>
        <w:pStyle w:val="3"/>
        <w:keepNext w:val="0"/>
        <w:keepLines w:val="0"/>
        <w:pageBreakBefore w:val="0"/>
        <w:widowControl w:val="0"/>
        <w:kinsoku/>
        <w:wordWrap/>
        <w:overflowPunct/>
        <w:topLinePunct w:val="0"/>
        <w:autoSpaceDN/>
        <w:bidi w:val="0"/>
        <w:adjustRightInd/>
        <w:snapToGrid w:val="0"/>
        <w:spacing w:line="520" w:lineRule="exact"/>
        <w:ind w:left="420" w:leftChars="175" w:hanging="52" w:hangingChars="22"/>
        <w:textAlignment w:val="auto"/>
        <w:rPr>
          <w:rFonts w:hint="eastAsia" w:ascii="楷体" w:hAnsi="楷体" w:eastAsia="楷体" w:cs="楷体"/>
          <w:spacing w:val="0"/>
          <w:sz w:val="24"/>
          <w:szCs w:val="24"/>
        </w:rPr>
      </w:pPr>
      <w:r>
        <w:rPr>
          <w:rFonts w:hint="eastAsia" w:ascii="楷体" w:hAnsi="楷体" w:eastAsia="楷体" w:cs="楷体"/>
          <w:spacing w:val="0"/>
          <w:sz w:val="24"/>
          <w:szCs w:val="24"/>
          <w:lang w:eastAsia="zh-CN"/>
        </w:rPr>
        <w:t>4.</w:t>
      </w:r>
      <w:r>
        <w:rPr>
          <w:rFonts w:hint="eastAsia" w:ascii="楷体" w:hAnsi="楷体" w:eastAsia="楷体" w:cs="楷体"/>
          <w:spacing w:val="0"/>
          <w:sz w:val="24"/>
          <w:szCs w:val="24"/>
        </w:rPr>
        <w:t>电磁通道接收机灵敏度≤5μV。</w:t>
      </w:r>
    </w:p>
    <w:p w14:paraId="77E34712">
      <w:pPr>
        <w:pStyle w:val="3"/>
        <w:keepNext w:val="0"/>
        <w:keepLines w:val="0"/>
        <w:pageBreakBefore w:val="0"/>
        <w:widowControl w:val="0"/>
        <w:kinsoku/>
        <w:wordWrap/>
        <w:overflowPunct/>
        <w:topLinePunct w:val="0"/>
        <w:autoSpaceDN/>
        <w:bidi w:val="0"/>
        <w:adjustRightInd/>
        <w:snapToGrid w:val="0"/>
        <w:spacing w:line="520" w:lineRule="exact"/>
        <w:ind w:left="420" w:leftChars="175" w:hanging="52" w:hangingChars="22"/>
        <w:textAlignment w:val="auto"/>
        <w:rPr>
          <w:rFonts w:hint="eastAsia" w:ascii="楷体" w:hAnsi="楷体" w:eastAsia="楷体" w:cs="楷体"/>
          <w:spacing w:val="0"/>
          <w:sz w:val="24"/>
          <w:szCs w:val="24"/>
        </w:rPr>
      </w:pPr>
      <w:r>
        <w:rPr>
          <w:rFonts w:hint="eastAsia" w:ascii="楷体" w:hAnsi="楷体" w:eastAsia="楷体" w:cs="楷体"/>
          <w:spacing w:val="0"/>
          <w:sz w:val="24"/>
          <w:szCs w:val="24"/>
          <w:lang w:eastAsia="zh-CN"/>
        </w:rPr>
        <w:t>5.</w:t>
      </w:r>
      <w:r>
        <w:rPr>
          <w:rFonts w:hint="eastAsia" w:ascii="楷体" w:hAnsi="楷体" w:eastAsia="楷体" w:cs="楷体"/>
          <w:spacing w:val="0"/>
          <w:sz w:val="24"/>
          <w:szCs w:val="24"/>
        </w:rPr>
        <w:t>声音通道音频放大器增益≤120dB。</w:t>
      </w:r>
    </w:p>
    <w:p w14:paraId="42D4FFE3">
      <w:pPr>
        <w:pStyle w:val="3"/>
        <w:keepNext w:val="0"/>
        <w:keepLines w:val="0"/>
        <w:pageBreakBefore w:val="0"/>
        <w:widowControl w:val="0"/>
        <w:kinsoku/>
        <w:wordWrap/>
        <w:overflowPunct/>
        <w:topLinePunct w:val="0"/>
        <w:autoSpaceDN/>
        <w:bidi w:val="0"/>
        <w:adjustRightInd/>
        <w:snapToGrid w:val="0"/>
        <w:spacing w:line="520" w:lineRule="exact"/>
        <w:ind w:left="420" w:leftChars="175" w:hanging="52" w:hangingChars="22"/>
        <w:textAlignment w:val="auto"/>
        <w:rPr>
          <w:rFonts w:hint="eastAsia" w:ascii="楷体" w:hAnsi="楷体" w:eastAsia="楷体" w:cs="楷体"/>
          <w:spacing w:val="0"/>
          <w:sz w:val="24"/>
          <w:szCs w:val="24"/>
        </w:rPr>
      </w:pPr>
      <w:r>
        <w:rPr>
          <w:rFonts w:hint="eastAsia" w:ascii="楷体" w:hAnsi="楷体" w:eastAsia="楷体" w:cs="楷体"/>
          <w:spacing w:val="0"/>
          <w:sz w:val="24"/>
          <w:szCs w:val="24"/>
          <w:lang w:eastAsia="zh-CN"/>
        </w:rPr>
        <w:t>6.</w:t>
      </w:r>
      <w:r>
        <w:rPr>
          <w:rFonts w:hint="eastAsia" w:ascii="楷体" w:hAnsi="楷体" w:eastAsia="楷体" w:cs="楷体"/>
          <w:spacing w:val="0"/>
          <w:sz w:val="24"/>
          <w:szCs w:val="24"/>
        </w:rPr>
        <w:t>工频抑制能力＞40dB。</w:t>
      </w:r>
    </w:p>
    <w:p w14:paraId="004F9839">
      <w:pPr>
        <w:pStyle w:val="3"/>
        <w:keepNext w:val="0"/>
        <w:keepLines w:val="0"/>
        <w:pageBreakBefore w:val="0"/>
        <w:widowControl w:val="0"/>
        <w:kinsoku/>
        <w:wordWrap/>
        <w:overflowPunct/>
        <w:topLinePunct w:val="0"/>
        <w:autoSpaceDN/>
        <w:bidi w:val="0"/>
        <w:adjustRightInd/>
        <w:snapToGrid w:val="0"/>
        <w:spacing w:line="520" w:lineRule="exact"/>
        <w:ind w:left="689" w:leftChars="175" w:hanging="321" w:hangingChars="134"/>
        <w:textAlignment w:val="auto"/>
        <w:rPr>
          <w:rFonts w:hint="eastAsia" w:ascii="楷体" w:hAnsi="楷体" w:eastAsia="楷体" w:cs="楷体"/>
          <w:spacing w:val="0"/>
          <w:sz w:val="24"/>
          <w:szCs w:val="24"/>
        </w:rPr>
      </w:pPr>
      <w:r>
        <w:rPr>
          <w:rFonts w:hint="eastAsia" w:ascii="楷体" w:hAnsi="楷体" w:eastAsia="楷体" w:cs="楷体"/>
          <w:spacing w:val="0"/>
          <w:sz w:val="24"/>
          <w:szCs w:val="24"/>
          <w:lang w:eastAsia="zh-CN"/>
        </w:rPr>
        <w:t>7.</w:t>
      </w:r>
      <w:r>
        <w:rPr>
          <w:rFonts w:hint="eastAsia" w:ascii="楷体" w:hAnsi="楷体" w:eastAsia="楷体" w:cs="楷体"/>
          <w:spacing w:val="0"/>
          <w:sz w:val="24"/>
          <w:szCs w:val="24"/>
        </w:rPr>
        <w:t>声磁同步显示监听：即现场定点时，数字屏在冲击高压形成的冲击电磁波作用下</w:t>
      </w:r>
      <w:r>
        <w:rPr>
          <w:rFonts w:hint="eastAsia" w:ascii="楷体" w:hAnsi="楷体" w:eastAsia="楷体" w:cs="楷体"/>
          <w:spacing w:val="0"/>
          <w:sz w:val="24"/>
          <w:szCs w:val="24"/>
          <w:lang w:eastAsia="zh-CN"/>
        </w:rPr>
        <w:t>，</w:t>
      </w:r>
      <w:r>
        <w:rPr>
          <w:rFonts w:hint="eastAsia" w:ascii="楷体" w:hAnsi="楷体" w:eastAsia="楷体" w:cs="楷体"/>
          <w:spacing w:val="0"/>
          <w:sz w:val="24"/>
          <w:szCs w:val="24"/>
        </w:rPr>
        <w:t>重复计数一次，并显示故障距离或满亮</w:t>
      </w:r>
      <w:r>
        <w:rPr>
          <w:rFonts w:hint="eastAsia" w:ascii="楷体" w:hAnsi="楷体" w:eastAsia="楷体" w:cs="楷体"/>
          <w:spacing w:val="0"/>
          <w:sz w:val="24"/>
          <w:szCs w:val="24"/>
          <w:lang w:eastAsia="zh-CN"/>
        </w:rPr>
        <w:t>（</w:t>
      </w:r>
      <w:r>
        <w:rPr>
          <w:rFonts w:hint="eastAsia" w:ascii="楷体" w:hAnsi="楷体" w:eastAsia="楷体" w:cs="楷体"/>
          <w:spacing w:val="0"/>
          <w:sz w:val="24"/>
          <w:szCs w:val="24"/>
        </w:rPr>
        <w:t>500.0米</w:t>
      </w:r>
      <w:r>
        <w:rPr>
          <w:rFonts w:hint="eastAsia" w:ascii="楷体" w:hAnsi="楷体" w:eastAsia="楷体" w:cs="楷体"/>
          <w:spacing w:val="0"/>
          <w:sz w:val="24"/>
          <w:szCs w:val="24"/>
          <w:lang w:eastAsia="zh-CN"/>
        </w:rPr>
        <w:t>）</w:t>
      </w:r>
      <w:r>
        <w:rPr>
          <w:rFonts w:hint="eastAsia" w:ascii="楷体" w:hAnsi="楷体" w:eastAsia="楷体" w:cs="楷体"/>
          <w:spacing w:val="0"/>
          <w:sz w:val="24"/>
          <w:szCs w:val="24"/>
        </w:rPr>
        <w:t>。同时，由高阻耳机监听电缆故障点在冲击放电击穿时火花产生的地震波，以便排除环境杂波干扰。</w:t>
      </w:r>
    </w:p>
    <w:p w14:paraId="5C82E1F5">
      <w:pPr>
        <w:pStyle w:val="3"/>
        <w:keepNext w:val="0"/>
        <w:keepLines w:val="0"/>
        <w:pageBreakBefore w:val="0"/>
        <w:widowControl w:val="0"/>
        <w:kinsoku/>
        <w:wordWrap/>
        <w:overflowPunct/>
        <w:topLinePunct w:val="0"/>
        <w:autoSpaceDN/>
        <w:bidi w:val="0"/>
        <w:adjustRightInd/>
        <w:snapToGrid w:val="0"/>
        <w:spacing w:line="520" w:lineRule="exact"/>
        <w:ind w:left="689" w:leftChars="175" w:hanging="321" w:hangingChars="134"/>
        <w:textAlignment w:val="auto"/>
        <w:rPr>
          <w:rFonts w:hint="eastAsia" w:ascii="楷体" w:hAnsi="楷体" w:eastAsia="楷体" w:cs="楷体"/>
          <w:spacing w:val="0"/>
          <w:sz w:val="24"/>
          <w:szCs w:val="24"/>
        </w:rPr>
      </w:pPr>
      <w:r>
        <w:rPr>
          <w:rFonts w:hint="eastAsia" w:ascii="楷体" w:hAnsi="楷体" w:eastAsia="楷体" w:cs="楷体"/>
          <w:spacing w:val="0"/>
          <w:sz w:val="24"/>
          <w:szCs w:val="24"/>
          <w:lang w:eastAsia="zh-CN"/>
        </w:rPr>
        <w:t>8.</w:t>
      </w:r>
      <w:bookmarkStart w:id="3" w:name="_Hlk63069653"/>
      <w:r>
        <w:rPr>
          <w:rFonts w:hint="eastAsia" w:ascii="楷体" w:hAnsi="楷体" w:eastAsia="楷体" w:cs="楷体"/>
          <w:spacing w:val="0"/>
          <w:sz w:val="24"/>
          <w:szCs w:val="24"/>
        </w:rPr>
        <w:t>使用路径天线作为传感器时，直接插拔黑色探棒天线，采用波谷法可作电缆路径的精确探测</w:t>
      </w:r>
      <w:bookmarkEnd w:id="3"/>
      <w:r>
        <w:rPr>
          <w:rFonts w:hint="eastAsia" w:ascii="楷体" w:hAnsi="楷体" w:eastAsia="楷体" w:cs="楷体"/>
          <w:spacing w:val="0"/>
          <w:sz w:val="24"/>
          <w:szCs w:val="24"/>
        </w:rPr>
        <w:t>。</w:t>
      </w:r>
    </w:p>
    <w:p w14:paraId="62525E59">
      <w:pPr>
        <w:pStyle w:val="3"/>
        <w:keepNext w:val="0"/>
        <w:keepLines w:val="0"/>
        <w:pageBreakBefore w:val="0"/>
        <w:widowControl w:val="0"/>
        <w:kinsoku/>
        <w:wordWrap/>
        <w:overflowPunct/>
        <w:topLinePunct w:val="0"/>
        <w:autoSpaceDN/>
        <w:bidi w:val="0"/>
        <w:adjustRightInd/>
        <w:snapToGrid w:val="0"/>
        <w:spacing w:line="520" w:lineRule="exact"/>
        <w:ind w:left="689" w:leftChars="175" w:hanging="321" w:hangingChars="134"/>
        <w:textAlignment w:val="auto"/>
        <w:rPr>
          <w:rFonts w:hint="eastAsia" w:ascii="楷体" w:hAnsi="楷体" w:eastAsia="楷体" w:cs="楷体"/>
          <w:spacing w:val="0"/>
          <w:sz w:val="24"/>
          <w:szCs w:val="24"/>
        </w:rPr>
      </w:pPr>
      <w:r>
        <w:rPr>
          <w:rFonts w:hint="eastAsia" w:ascii="楷体" w:hAnsi="楷体" w:eastAsia="楷体" w:cs="楷体"/>
          <w:spacing w:val="0"/>
          <w:sz w:val="24"/>
          <w:lang w:eastAsia="zh-CN"/>
        </w:rPr>
        <w:t>9.</w:t>
      </w:r>
      <w:r>
        <w:rPr>
          <w:rFonts w:hint="eastAsia" w:ascii="楷体" w:hAnsi="楷体" w:eastAsia="楷体" w:cs="楷体"/>
          <w:spacing w:val="0"/>
          <w:sz w:val="24"/>
        </w:rPr>
        <w:t>工作电源：内置可充电池供电，连续工作时长＞12小时。</w:t>
      </w:r>
    </w:p>
    <w:p w14:paraId="759658FA">
      <w:pPr>
        <w:pStyle w:val="3"/>
        <w:keepNext w:val="0"/>
        <w:keepLines w:val="0"/>
        <w:pageBreakBefore w:val="0"/>
        <w:widowControl w:val="0"/>
        <w:kinsoku/>
        <w:wordWrap/>
        <w:overflowPunct/>
        <w:topLinePunct w:val="0"/>
        <w:autoSpaceDN/>
        <w:bidi w:val="0"/>
        <w:adjustRightInd/>
        <w:snapToGrid w:val="0"/>
        <w:spacing w:line="520" w:lineRule="exact"/>
        <w:ind w:left="689" w:leftChars="175" w:hanging="321" w:hangingChars="134"/>
        <w:textAlignment w:val="auto"/>
        <w:rPr>
          <w:rFonts w:hint="eastAsia" w:ascii="楷体" w:hAnsi="楷体" w:eastAsia="楷体" w:cs="楷体"/>
          <w:spacing w:val="0"/>
          <w:kern w:val="0"/>
          <w:sz w:val="24"/>
        </w:rPr>
      </w:pPr>
      <w:r>
        <w:rPr>
          <w:rFonts w:hint="eastAsia" w:ascii="楷体" w:hAnsi="楷体" w:eastAsia="楷体" w:cs="楷体"/>
          <w:spacing w:val="0"/>
          <w:sz w:val="24"/>
          <w:szCs w:val="24"/>
          <w:lang w:val="en-US" w:eastAsia="zh-CN"/>
        </w:rPr>
        <w:t>10.</w:t>
      </w:r>
      <w:r>
        <w:rPr>
          <w:rFonts w:hint="eastAsia" w:ascii="楷体" w:hAnsi="楷体" w:eastAsia="楷体" w:cs="楷体"/>
          <w:spacing w:val="0"/>
          <w:sz w:val="24"/>
        </w:rPr>
        <w:t>外形尺寸：</w:t>
      </w:r>
      <w:r>
        <w:rPr>
          <w:rFonts w:hint="eastAsia" w:ascii="楷体" w:hAnsi="楷体" w:eastAsia="楷体" w:cs="楷体"/>
          <w:spacing w:val="0"/>
          <w:sz w:val="24"/>
          <w:lang w:bidi="ar"/>
        </w:rPr>
        <w:t>长415mm×宽319mm×高168mm</w:t>
      </w:r>
    </w:p>
    <w:p w14:paraId="4B6BBC14">
      <w:pPr>
        <w:pStyle w:val="3"/>
        <w:keepNext w:val="0"/>
        <w:keepLines w:val="0"/>
        <w:pageBreakBefore w:val="0"/>
        <w:widowControl w:val="0"/>
        <w:kinsoku/>
        <w:wordWrap/>
        <w:overflowPunct/>
        <w:topLinePunct w:val="0"/>
        <w:autoSpaceDN/>
        <w:bidi w:val="0"/>
        <w:adjustRightInd/>
        <w:snapToGrid w:val="0"/>
        <w:spacing w:line="520" w:lineRule="exact"/>
        <w:ind w:left="689" w:leftChars="175" w:hanging="321" w:hangingChars="134"/>
        <w:textAlignment w:val="auto"/>
        <w:rPr>
          <w:rFonts w:hint="eastAsia" w:ascii="楷体" w:hAnsi="楷体" w:eastAsia="楷体" w:cs="楷体"/>
          <w:spacing w:val="0"/>
          <w:sz w:val="24"/>
          <w:lang w:val="en-US" w:eastAsia="zh-CN" w:bidi="ar"/>
        </w:rPr>
      </w:pPr>
      <w:r>
        <w:rPr>
          <w:rFonts w:hint="eastAsia" w:ascii="楷体" w:hAnsi="楷体" w:eastAsia="楷体" w:cs="楷体"/>
          <w:spacing w:val="0"/>
          <w:sz w:val="24"/>
          <w:lang w:val="en-US" w:eastAsia="zh-CN" w:bidi="ar"/>
        </w:rPr>
        <w:t>11.</w:t>
      </w:r>
      <w:r>
        <w:rPr>
          <w:rFonts w:hint="eastAsia" w:ascii="楷体" w:hAnsi="楷体" w:eastAsia="楷体" w:cs="楷体"/>
          <w:spacing w:val="0"/>
          <w:sz w:val="24"/>
          <w:lang w:bidi="ar"/>
        </w:rPr>
        <w:t>重    量：</w:t>
      </w:r>
      <w:r>
        <w:rPr>
          <w:rFonts w:hint="eastAsia" w:ascii="楷体" w:hAnsi="楷体" w:eastAsia="楷体" w:cs="楷体"/>
          <w:spacing w:val="0"/>
          <w:sz w:val="24"/>
          <w:lang w:val="en-US" w:eastAsia="zh-CN" w:bidi="ar"/>
        </w:rPr>
        <w:t>定点仪1.2</w:t>
      </w:r>
      <w:r>
        <w:rPr>
          <w:rFonts w:hint="eastAsia" w:ascii="楷体" w:hAnsi="楷体" w:eastAsia="楷体" w:cs="楷体"/>
          <w:spacing w:val="0"/>
          <w:sz w:val="24"/>
          <w:lang w:bidi="ar"/>
        </w:rPr>
        <w:t>kg</w:t>
      </w:r>
      <w:r>
        <w:rPr>
          <w:rFonts w:hint="eastAsia" w:ascii="楷体" w:hAnsi="楷体" w:eastAsia="楷体" w:cs="楷体"/>
          <w:spacing w:val="0"/>
          <w:sz w:val="24"/>
          <w:lang w:eastAsia="zh-CN" w:bidi="ar"/>
        </w:rPr>
        <w:t>；</w:t>
      </w:r>
      <w:r>
        <w:rPr>
          <w:rFonts w:hint="eastAsia" w:ascii="楷体" w:hAnsi="楷体" w:eastAsia="楷体" w:cs="楷体"/>
          <w:spacing w:val="0"/>
          <w:sz w:val="24"/>
          <w:lang w:val="en-US" w:eastAsia="zh-CN" w:bidi="ar"/>
        </w:rPr>
        <w:t>探底传感器1.0kg；整机（含箱）6.5kg</w:t>
      </w:r>
    </w:p>
    <w:p w14:paraId="12E28B18">
      <w:pPr>
        <w:pStyle w:val="3"/>
        <w:keepNext w:val="0"/>
        <w:keepLines w:val="0"/>
        <w:pageBreakBefore w:val="0"/>
        <w:widowControl w:val="0"/>
        <w:kinsoku/>
        <w:wordWrap/>
        <w:overflowPunct/>
        <w:topLinePunct w:val="0"/>
        <w:autoSpaceDN/>
        <w:bidi w:val="0"/>
        <w:adjustRightInd/>
        <w:snapToGrid w:val="0"/>
        <w:spacing w:line="520" w:lineRule="exact"/>
        <w:ind w:left="689" w:leftChars="175" w:hanging="321" w:hangingChars="134"/>
        <w:textAlignment w:val="auto"/>
        <w:rPr>
          <w:rFonts w:hint="eastAsia" w:ascii="楷体" w:hAnsi="楷体" w:eastAsia="楷体" w:cs="楷体"/>
          <w:spacing w:val="0"/>
          <w:sz w:val="24"/>
          <w:lang w:val="en-US" w:eastAsia="zh-CN" w:bidi="ar"/>
        </w:rPr>
      </w:pPr>
    </w:p>
    <w:p w14:paraId="5ECB6B62">
      <w:pPr>
        <w:pStyle w:val="3"/>
        <w:keepNext w:val="0"/>
        <w:keepLines w:val="0"/>
        <w:pageBreakBefore w:val="0"/>
        <w:widowControl w:val="0"/>
        <w:kinsoku/>
        <w:wordWrap/>
        <w:overflowPunct/>
        <w:topLinePunct w:val="0"/>
        <w:autoSpaceDN/>
        <w:bidi w:val="0"/>
        <w:adjustRightInd/>
        <w:snapToGrid w:val="0"/>
        <w:spacing w:line="520" w:lineRule="exact"/>
        <w:ind w:left="689" w:leftChars="175" w:hanging="321" w:hangingChars="134"/>
        <w:textAlignment w:val="auto"/>
        <w:rPr>
          <w:rFonts w:hint="eastAsia" w:ascii="楷体" w:hAnsi="楷体" w:eastAsia="楷体" w:cs="楷体"/>
          <w:spacing w:val="0"/>
          <w:sz w:val="24"/>
          <w:lang w:val="en-US" w:eastAsia="zh-CN" w:bidi="ar"/>
        </w:rPr>
      </w:pPr>
    </w:p>
    <w:p w14:paraId="5FE21176">
      <w:pPr>
        <w:pStyle w:val="3"/>
        <w:keepNext w:val="0"/>
        <w:keepLines w:val="0"/>
        <w:pageBreakBefore w:val="0"/>
        <w:widowControl w:val="0"/>
        <w:kinsoku/>
        <w:wordWrap/>
        <w:overflowPunct/>
        <w:topLinePunct w:val="0"/>
        <w:autoSpaceDN/>
        <w:bidi w:val="0"/>
        <w:adjustRightInd/>
        <w:snapToGrid w:val="0"/>
        <w:spacing w:line="520" w:lineRule="exact"/>
        <w:ind w:left="689" w:leftChars="175" w:hanging="321" w:hangingChars="134"/>
        <w:textAlignment w:val="auto"/>
        <w:rPr>
          <w:rFonts w:hint="eastAsia" w:ascii="楷体" w:hAnsi="楷体" w:eastAsia="楷体" w:cs="楷体"/>
          <w:spacing w:val="0"/>
          <w:sz w:val="24"/>
          <w:lang w:val="en-US" w:eastAsia="zh-CN" w:bidi="ar"/>
        </w:rPr>
      </w:pPr>
    </w:p>
    <w:p w14:paraId="5193CC93">
      <w:pPr>
        <w:pStyle w:val="3"/>
        <w:keepNext w:val="0"/>
        <w:keepLines w:val="0"/>
        <w:pageBreakBefore w:val="0"/>
        <w:widowControl w:val="0"/>
        <w:kinsoku/>
        <w:wordWrap/>
        <w:overflowPunct/>
        <w:topLinePunct w:val="0"/>
        <w:autoSpaceDN/>
        <w:bidi w:val="0"/>
        <w:adjustRightInd/>
        <w:snapToGrid w:val="0"/>
        <w:spacing w:line="520" w:lineRule="exact"/>
        <w:ind w:left="689" w:leftChars="175" w:hanging="321" w:hangingChars="134"/>
        <w:textAlignment w:val="auto"/>
        <w:rPr>
          <w:rFonts w:hint="eastAsia" w:ascii="楷体" w:hAnsi="楷体" w:eastAsia="楷体" w:cs="楷体"/>
          <w:spacing w:val="0"/>
          <w:sz w:val="24"/>
          <w:lang w:val="en-US" w:eastAsia="zh-CN" w:bidi="ar"/>
        </w:rPr>
      </w:pPr>
    </w:p>
    <w:p w14:paraId="40BF191F">
      <w:pPr>
        <w:pStyle w:val="3"/>
        <w:keepNext w:val="0"/>
        <w:keepLines w:val="0"/>
        <w:pageBreakBefore w:val="0"/>
        <w:widowControl w:val="0"/>
        <w:kinsoku/>
        <w:wordWrap/>
        <w:overflowPunct/>
        <w:topLinePunct w:val="0"/>
        <w:autoSpaceDN/>
        <w:bidi w:val="0"/>
        <w:adjustRightInd/>
        <w:snapToGrid w:val="0"/>
        <w:spacing w:line="520" w:lineRule="exact"/>
        <w:ind w:left="689" w:leftChars="175" w:hanging="321" w:hangingChars="134"/>
        <w:textAlignment w:val="auto"/>
        <w:rPr>
          <w:rFonts w:hint="eastAsia" w:ascii="楷体" w:hAnsi="楷体" w:eastAsia="楷体" w:cs="楷体"/>
          <w:spacing w:val="0"/>
          <w:sz w:val="24"/>
          <w:lang w:val="en-US" w:eastAsia="zh-CN" w:bidi="ar"/>
        </w:rPr>
      </w:pPr>
    </w:p>
    <w:p w14:paraId="36C104C3">
      <w:pPr>
        <w:pStyle w:val="3"/>
        <w:keepNext w:val="0"/>
        <w:keepLines w:val="0"/>
        <w:pageBreakBefore w:val="0"/>
        <w:widowControl w:val="0"/>
        <w:kinsoku/>
        <w:wordWrap/>
        <w:overflowPunct/>
        <w:topLinePunct w:val="0"/>
        <w:autoSpaceDN/>
        <w:bidi w:val="0"/>
        <w:adjustRightInd/>
        <w:snapToGrid w:val="0"/>
        <w:spacing w:line="520" w:lineRule="exact"/>
        <w:ind w:left="0" w:leftChars="0" w:firstLine="0" w:firstLineChars="0"/>
        <w:textAlignment w:val="auto"/>
        <w:rPr>
          <w:rFonts w:hint="eastAsia" w:ascii="楷体" w:hAnsi="楷体" w:eastAsia="楷体" w:cs="楷体"/>
          <w:spacing w:val="0"/>
          <w:sz w:val="24"/>
          <w:lang w:val="en-US" w:eastAsia="zh-CN" w:bidi="ar"/>
        </w:rPr>
      </w:pPr>
    </w:p>
    <w:p w14:paraId="43917A84">
      <w:pPr>
        <w:keepNext w:val="0"/>
        <w:keepLines w:val="0"/>
        <w:pageBreakBefore w:val="0"/>
        <w:widowControl w:val="0"/>
        <w:kinsoku/>
        <w:wordWrap/>
        <w:overflowPunct/>
        <w:topLinePunct w:val="0"/>
        <w:autoSpaceDE/>
        <w:autoSpaceDN/>
        <w:bidi w:val="0"/>
        <w:adjustRightInd/>
        <w:snapToGrid/>
        <w:spacing w:line="520" w:lineRule="exact"/>
        <w:textAlignment w:val="auto"/>
        <w:outlineLvl w:val="0"/>
        <w:rPr>
          <w:rFonts w:hint="eastAsia" w:ascii="楷体" w:hAnsi="楷体" w:eastAsia="楷体" w:cs="楷体"/>
          <w:spacing w:val="0"/>
          <w:sz w:val="28"/>
          <w:szCs w:val="28"/>
        </w:rPr>
      </w:pPr>
      <w:r>
        <w:rPr>
          <w:rFonts w:hint="eastAsia" w:ascii="楷体" w:hAnsi="楷体" w:eastAsia="楷体" w:cs="楷体"/>
          <w:b/>
          <w:bCs/>
          <w:spacing w:val="0"/>
          <w:sz w:val="28"/>
          <w:szCs w:val="28"/>
        </w:rPr>
        <w:t>四、</w:t>
      </w:r>
      <w:r>
        <w:rPr>
          <w:rFonts w:hint="eastAsia" w:ascii="楷体" w:hAnsi="楷体" w:eastAsia="楷体" w:cs="楷体"/>
          <w:b/>
          <w:bCs/>
          <w:spacing w:val="0"/>
          <w:sz w:val="28"/>
          <w:szCs w:val="28"/>
          <w:lang w:val="en-US" w:eastAsia="zh-CN"/>
        </w:rPr>
        <w:t>HNE-35kV 高压发生器</w:t>
      </w:r>
    </w:p>
    <w:p w14:paraId="21CAF2B5">
      <w:pPr>
        <w:keepNext w:val="0"/>
        <w:keepLines w:val="0"/>
        <w:pageBreakBefore w:val="0"/>
        <w:widowControl w:val="0"/>
        <w:kinsoku/>
        <w:wordWrap/>
        <w:overflowPunct/>
        <w:topLinePunct w:val="0"/>
        <w:autoSpaceDN/>
        <w:bidi w:val="0"/>
        <w:adjustRightInd/>
        <w:snapToGrid w:val="0"/>
        <w:spacing w:line="520" w:lineRule="exact"/>
        <w:textAlignment w:val="auto"/>
        <w:rPr>
          <w:rFonts w:hint="eastAsia" w:ascii="楷体" w:hAnsi="楷体" w:eastAsia="楷体" w:cs="楷体"/>
          <w:b/>
          <w:bCs/>
          <w:spacing w:val="0"/>
          <w:sz w:val="24"/>
        </w:rPr>
      </w:pPr>
      <w:r>
        <w:rPr>
          <w:rFonts w:hint="eastAsia" w:ascii="楷体" w:hAnsi="楷体" w:eastAsia="楷体" w:cs="楷体"/>
          <w:spacing w:val="0"/>
          <w:sz w:val="24"/>
          <w:lang w:bidi="ar"/>
        </w:rPr>
        <w:drawing>
          <wp:anchor distT="0" distB="0" distL="114300" distR="114300" simplePos="0" relativeHeight="251659264" behindDoc="0" locked="0" layoutInCell="1" allowOverlap="1">
            <wp:simplePos x="0" y="0"/>
            <wp:positionH relativeFrom="column">
              <wp:posOffset>4038600</wp:posOffset>
            </wp:positionH>
            <wp:positionV relativeFrom="paragraph">
              <wp:posOffset>239395</wp:posOffset>
            </wp:positionV>
            <wp:extent cx="1674495" cy="1842770"/>
            <wp:effectExtent l="0" t="0" r="1905" b="5080"/>
            <wp:wrapSquare wrapText="bothSides"/>
            <wp:docPr id="15" name="图片 15" descr="C:/Users/Administrator/Desktop/e4ee61eab7a6507885114c75c460e718.jpge4ee61eab7a6507885114c75c460e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Administrator/Desktop/e4ee61eab7a6507885114c75c460e718.jpge4ee61eab7a6507885114c75c460e718"/>
                    <pic:cNvPicPr>
                      <a:picLocks noChangeAspect="1"/>
                    </pic:cNvPicPr>
                  </pic:nvPicPr>
                  <pic:blipFill>
                    <a:blip r:embed="rId13"/>
                    <a:srcRect t="9115" b="8423"/>
                    <a:stretch>
                      <a:fillRect/>
                    </a:stretch>
                  </pic:blipFill>
                  <pic:spPr>
                    <a:xfrm>
                      <a:off x="0" y="0"/>
                      <a:ext cx="1674495" cy="1842770"/>
                    </a:xfrm>
                    <a:prstGeom prst="rect">
                      <a:avLst/>
                    </a:prstGeom>
                  </pic:spPr>
                </pic:pic>
              </a:graphicData>
            </a:graphic>
          </wp:anchor>
        </w:drawing>
      </w:r>
      <w:r>
        <w:rPr>
          <w:rFonts w:hint="eastAsia" w:ascii="楷体" w:hAnsi="楷体" w:eastAsia="楷体" w:cs="楷体"/>
          <w:b/>
          <w:bCs/>
          <w:spacing w:val="0"/>
          <w:sz w:val="24"/>
        </w:rPr>
        <w:t>仪器介绍</w:t>
      </w:r>
    </w:p>
    <w:p w14:paraId="456754B9">
      <w:pPr>
        <w:keepNext w:val="0"/>
        <w:keepLines w:val="0"/>
        <w:pageBreakBefore w:val="0"/>
        <w:widowControl w:val="0"/>
        <w:kinsoku/>
        <w:wordWrap/>
        <w:overflowPunct/>
        <w:topLinePunct w:val="0"/>
        <w:autoSpaceDE w:val="0"/>
        <w:autoSpaceDN/>
        <w:bidi w:val="0"/>
        <w:adjustRightInd/>
        <w:spacing w:line="520" w:lineRule="exact"/>
        <w:ind w:firstLine="420"/>
        <w:textAlignment w:val="auto"/>
        <w:rPr>
          <w:rFonts w:hint="eastAsia" w:ascii="楷体" w:hAnsi="楷体" w:eastAsia="楷体" w:cs="楷体"/>
          <w:spacing w:val="0"/>
          <w:sz w:val="24"/>
        </w:rPr>
      </w:pPr>
      <w:r>
        <w:rPr>
          <w:rFonts w:hint="eastAsia" w:ascii="楷体" w:hAnsi="楷体" w:eastAsia="楷体" w:cs="楷体"/>
          <w:spacing w:val="0"/>
          <w:sz w:val="24"/>
          <w:lang w:bidi="ar"/>
        </w:rPr>
        <w:t>该</w:t>
      </w:r>
      <w:r>
        <w:rPr>
          <w:rFonts w:hint="eastAsia" w:ascii="楷体" w:hAnsi="楷体" w:eastAsia="楷体" w:cs="楷体"/>
          <w:spacing w:val="0"/>
          <w:sz w:val="24"/>
        </w:rPr>
        <w:t>系列</w:t>
      </w:r>
      <w:r>
        <w:rPr>
          <w:rFonts w:hint="eastAsia" w:ascii="楷体" w:hAnsi="楷体" w:eastAsia="楷体" w:cs="楷体"/>
          <w:spacing w:val="0"/>
          <w:sz w:val="24"/>
          <w:lang w:bidi="ar"/>
        </w:rPr>
        <w:t>高压试验电源适用于</w:t>
      </w:r>
      <w:r>
        <w:rPr>
          <w:rFonts w:hint="eastAsia" w:ascii="楷体" w:hAnsi="楷体" w:eastAsia="楷体" w:cs="楷体"/>
          <w:spacing w:val="0"/>
          <w:sz w:val="24"/>
        </w:rPr>
        <w:t>供电企业、大型工厂、冶金、发电厂、铁路</w:t>
      </w:r>
      <w:r>
        <w:rPr>
          <w:rFonts w:hint="eastAsia" w:ascii="楷体" w:hAnsi="楷体" w:eastAsia="楷体" w:cs="楷体"/>
          <w:spacing w:val="0"/>
          <w:sz w:val="24"/>
          <w:lang w:bidi="ar"/>
        </w:rPr>
        <w:t>交通、邮电部门、科研单位等，是电力检修、维护的必需设备。该设备由操作箱、试验变压器、电容三部分组成，对各种高压电气设备、电器元件、绝缘材料进行工频或直流高压下的绝缘强度试验，也可对电力线缆等故障检测提供高压信号电源。</w:t>
      </w:r>
    </w:p>
    <w:p w14:paraId="5DB933A1">
      <w:pPr>
        <w:keepNext w:val="0"/>
        <w:keepLines w:val="0"/>
        <w:pageBreakBefore w:val="0"/>
        <w:widowControl w:val="0"/>
        <w:kinsoku/>
        <w:wordWrap/>
        <w:overflowPunct/>
        <w:topLinePunct w:val="0"/>
        <w:autoSpaceDE w:val="0"/>
        <w:autoSpaceDN/>
        <w:bidi w:val="0"/>
        <w:adjustRightInd/>
        <w:spacing w:line="520" w:lineRule="exact"/>
        <w:textAlignment w:val="auto"/>
        <w:rPr>
          <w:rFonts w:hint="eastAsia" w:ascii="楷体" w:hAnsi="楷体" w:eastAsia="楷体" w:cs="楷体"/>
          <w:spacing w:val="0"/>
          <w:sz w:val="24"/>
        </w:rPr>
      </w:pPr>
      <w:r>
        <w:rPr>
          <w:rFonts w:hint="eastAsia" w:ascii="楷体" w:hAnsi="楷体" w:eastAsia="楷体" w:cs="楷体"/>
          <w:b/>
          <w:spacing w:val="0"/>
          <w:sz w:val="24"/>
        </w:rPr>
        <w:t>安全要求</w:t>
      </w:r>
      <w:r>
        <w:rPr>
          <w:rFonts w:hint="eastAsia" w:ascii="楷体" w:hAnsi="楷体" w:eastAsia="楷体" w:cs="楷体"/>
          <w:spacing w:val="0"/>
          <w:sz w:val="24"/>
        </w:rPr>
        <w:t xml:space="preserve"> </w:t>
      </w:r>
    </w:p>
    <w:p w14:paraId="07411222">
      <w:pPr>
        <w:keepNext w:val="0"/>
        <w:keepLines w:val="0"/>
        <w:pageBreakBefore w:val="0"/>
        <w:widowControl w:val="0"/>
        <w:kinsoku/>
        <w:wordWrap/>
        <w:overflowPunct/>
        <w:topLinePunct w:val="0"/>
        <w:autoSpaceDE w:val="0"/>
        <w:autoSpaceDN/>
        <w:bidi w:val="0"/>
        <w:adjustRightInd/>
        <w:spacing w:line="520" w:lineRule="exact"/>
        <w:ind w:firstLine="420"/>
        <w:textAlignment w:val="auto"/>
        <w:rPr>
          <w:rFonts w:hint="eastAsia" w:ascii="楷体" w:hAnsi="楷体" w:eastAsia="楷体" w:cs="楷体"/>
          <w:spacing w:val="0"/>
          <w:sz w:val="24"/>
          <w:lang w:val="en-US" w:eastAsia="zh-CN"/>
        </w:rPr>
      </w:pPr>
      <w:r>
        <w:rPr>
          <w:rFonts w:hint="eastAsia" w:ascii="楷体" w:hAnsi="楷体" w:eastAsia="楷体" w:cs="楷体"/>
          <w:spacing w:val="0"/>
          <w:sz w:val="24"/>
        </w:rPr>
        <w:t>无论是试验过程中或使用期间，在接触电容器之前</w:t>
      </w:r>
      <w:r>
        <w:rPr>
          <w:rFonts w:hint="eastAsia" w:ascii="楷体" w:hAnsi="楷体" w:eastAsia="楷体" w:cs="楷体"/>
          <w:spacing w:val="0"/>
          <w:sz w:val="24"/>
          <w:lang w:eastAsia="zh-CN"/>
        </w:rPr>
        <w:t>，</w:t>
      </w:r>
      <w:r>
        <w:rPr>
          <w:rFonts w:hint="eastAsia" w:ascii="楷体" w:hAnsi="楷体" w:eastAsia="楷体" w:cs="楷体"/>
          <w:spacing w:val="0"/>
          <w:sz w:val="24"/>
        </w:rPr>
        <w:t>必须用接地棒将电容器可靠放电，然后把电容器的各端子短接起来并接地；电容器试验后，必须用裸铜线将电容器的各端子间及与外壳间</w:t>
      </w:r>
      <w:r>
        <w:rPr>
          <w:rFonts w:hint="eastAsia" w:ascii="楷体" w:hAnsi="楷体" w:eastAsia="楷体" w:cs="楷体"/>
          <w:spacing w:val="0"/>
          <w:sz w:val="24"/>
          <w:lang w:eastAsia="zh-CN"/>
        </w:rPr>
        <w:t>（</w:t>
      </w:r>
      <w:r>
        <w:rPr>
          <w:rFonts w:hint="eastAsia" w:ascii="楷体" w:hAnsi="楷体" w:eastAsia="楷体" w:cs="楷体"/>
          <w:spacing w:val="0"/>
          <w:sz w:val="24"/>
        </w:rPr>
        <w:t>如果是钢板外壳</w:t>
      </w:r>
      <w:r>
        <w:rPr>
          <w:rFonts w:hint="eastAsia" w:ascii="楷体" w:hAnsi="楷体" w:eastAsia="楷体" w:cs="楷体"/>
          <w:spacing w:val="0"/>
          <w:sz w:val="24"/>
          <w:lang w:eastAsia="zh-CN"/>
        </w:rPr>
        <w:t>）</w:t>
      </w:r>
      <w:r>
        <w:rPr>
          <w:rFonts w:hint="eastAsia" w:ascii="楷体" w:hAnsi="楷体" w:eastAsia="楷体" w:cs="楷体"/>
          <w:spacing w:val="0"/>
          <w:sz w:val="24"/>
        </w:rPr>
        <w:t>矩接起来；短接线应一直保留到下次使用时拆除。</w:t>
      </w:r>
    </w:p>
    <w:p w14:paraId="64F3DC27">
      <w:pPr>
        <w:autoSpaceDE w:val="0"/>
        <w:spacing w:line="360" w:lineRule="auto"/>
        <w:rPr>
          <w:rFonts w:hint="eastAsia" w:ascii="楷体" w:hAnsi="楷体" w:eastAsia="楷体" w:cs="楷体"/>
          <w:b/>
          <w:bCs/>
          <w:spacing w:val="0"/>
          <w:sz w:val="24"/>
        </w:rPr>
      </w:pPr>
      <w:r>
        <w:rPr>
          <w:rFonts w:hint="eastAsia" w:ascii="楷体" w:hAnsi="楷体" w:eastAsia="楷体" w:cs="楷体"/>
          <w:b/>
          <w:bCs/>
          <w:spacing w:val="0"/>
          <w:sz w:val="24"/>
        </w:rPr>
        <w:t>技术参数</w:t>
      </w:r>
    </w:p>
    <w:tbl>
      <w:tblPr>
        <w:tblStyle w:val="13"/>
        <w:tblW w:w="7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1"/>
        <w:gridCol w:w="4752"/>
      </w:tblGrid>
      <w:tr w14:paraId="6A4A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1" w:type="dxa"/>
            <w:shd w:val="clear" w:color="auto" w:fill="auto"/>
            <w:vAlign w:val="center"/>
          </w:tcPr>
          <w:p w14:paraId="54CA97BB">
            <w:pPr>
              <w:autoSpaceDE w:val="0"/>
              <w:spacing w:line="360" w:lineRule="auto"/>
              <w:ind w:right="25" w:rightChars="12"/>
              <w:jc w:val="center"/>
              <w:rPr>
                <w:rFonts w:hint="eastAsia" w:ascii="楷体" w:hAnsi="楷体" w:eastAsia="楷体" w:cs="楷体"/>
                <w:spacing w:val="0"/>
                <w:sz w:val="24"/>
              </w:rPr>
            </w:pPr>
            <w:r>
              <w:rPr>
                <w:rFonts w:hint="eastAsia" w:ascii="楷体" w:hAnsi="楷体" w:eastAsia="楷体" w:cs="楷体"/>
                <w:spacing w:val="0"/>
                <w:sz w:val="24"/>
              </w:rPr>
              <w:t>规格</w:t>
            </w:r>
          </w:p>
        </w:tc>
        <w:tc>
          <w:tcPr>
            <w:tcW w:w="4752" w:type="dxa"/>
            <w:shd w:val="clear" w:color="auto" w:fill="auto"/>
            <w:vAlign w:val="center"/>
          </w:tcPr>
          <w:p w14:paraId="64331DBE">
            <w:pPr>
              <w:autoSpaceDE w:val="0"/>
              <w:spacing w:line="360" w:lineRule="auto"/>
              <w:ind w:right="25" w:rightChars="12"/>
              <w:jc w:val="center"/>
              <w:rPr>
                <w:rFonts w:hint="eastAsia" w:ascii="楷体" w:hAnsi="楷体" w:eastAsia="楷体" w:cs="楷体"/>
                <w:bCs/>
                <w:spacing w:val="0"/>
                <w:sz w:val="24"/>
              </w:rPr>
            </w:pPr>
            <w:r>
              <w:rPr>
                <w:rFonts w:hint="eastAsia" w:ascii="楷体" w:hAnsi="楷体" w:eastAsia="楷体" w:cs="楷体"/>
                <w:spacing w:val="0"/>
                <w:sz w:val="24"/>
              </w:rPr>
              <w:t>交直流3/50</w:t>
            </w:r>
          </w:p>
        </w:tc>
      </w:tr>
      <w:tr w14:paraId="68D2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1" w:type="dxa"/>
            <w:shd w:val="clear" w:color="auto" w:fill="auto"/>
            <w:vAlign w:val="center"/>
          </w:tcPr>
          <w:p w14:paraId="61343DF8">
            <w:pPr>
              <w:autoSpaceDE w:val="0"/>
              <w:spacing w:line="360" w:lineRule="auto"/>
              <w:ind w:right="25" w:rightChars="12"/>
              <w:jc w:val="center"/>
              <w:rPr>
                <w:rFonts w:hint="eastAsia" w:ascii="楷体" w:hAnsi="楷体" w:eastAsia="楷体" w:cs="楷体"/>
                <w:spacing w:val="0"/>
                <w:sz w:val="24"/>
              </w:rPr>
            </w:pPr>
            <w:r>
              <w:rPr>
                <w:rFonts w:hint="eastAsia" w:ascii="楷体" w:hAnsi="楷体" w:eastAsia="楷体" w:cs="楷体"/>
                <w:spacing w:val="0"/>
                <w:sz w:val="24"/>
              </w:rPr>
              <w:t>变压器功率</w:t>
            </w:r>
          </w:p>
        </w:tc>
        <w:tc>
          <w:tcPr>
            <w:tcW w:w="4752" w:type="dxa"/>
            <w:shd w:val="clear" w:color="auto" w:fill="auto"/>
            <w:vAlign w:val="center"/>
          </w:tcPr>
          <w:p w14:paraId="63EB7733">
            <w:pPr>
              <w:autoSpaceDE w:val="0"/>
              <w:spacing w:line="360" w:lineRule="auto"/>
              <w:ind w:right="25" w:rightChars="12"/>
              <w:jc w:val="center"/>
              <w:rPr>
                <w:rFonts w:hint="eastAsia" w:ascii="楷体" w:hAnsi="楷体" w:eastAsia="楷体" w:cs="楷体"/>
                <w:bCs/>
                <w:spacing w:val="0"/>
                <w:sz w:val="24"/>
              </w:rPr>
            </w:pPr>
            <w:r>
              <w:rPr>
                <w:rFonts w:hint="eastAsia" w:ascii="楷体" w:hAnsi="楷体" w:eastAsia="楷体" w:cs="楷体"/>
                <w:bCs/>
                <w:spacing w:val="0"/>
                <w:sz w:val="24"/>
              </w:rPr>
              <w:t>3kVA</w:t>
            </w:r>
          </w:p>
        </w:tc>
      </w:tr>
      <w:tr w14:paraId="21EE0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1" w:type="dxa"/>
            <w:shd w:val="clear" w:color="auto" w:fill="auto"/>
            <w:vAlign w:val="center"/>
          </w:tcPr>
          <w:p w14:paraId="2ACB55AC">
            <w:pPr>
              <w:autoSpaceDE w:val="0"/>
              <w:spacing w:line="360" w:lineRule="auto"/>
              <w:ind w:right="25" w:rightChars="12"/>
              <w:jc w:val="center"/>
              <w:rPr>
                <w:rFonts w:hint="eastAsia" w:ascii="楷体" w:hAnsi="楷体" w:eastAsia="楷体" w:cs="楷体"/>
                <w:spacing w:val="0"/>
                <w:sz w:val="24"/>
                <w:lang w:bidi="ar"/>
              </w:rPr>
            </w:pPr>
            <w:r>
              <w:rPr>
                <w:rFonts w:hint="eastAsia" w:ascii="楷体" w:hAnsi="楷体" w:eastAsia="楷体" w:cs="楷体"/>
                <w:bCs/>
                <w:spacing w:val="0"/>
                <w:sz w:val="24"/>
              </w:rPr>
              <w:t>电容规格</w:t>
            </w:r>
          </w:p>
        </w:tc>
        <w:tc>
          <w:tcPr>
            <w:tcW w:w="4752" w:type="dxa"/>
            <w:shd w:val="clear" w:color="auto" w:fill="auto"/>
            <w:vAlign w:val="center"/>
          </w:tcPr>
          <w:p w14:paraId="34B28E41">
            <w:pPr>
              <w:autoSpaceDE w:val="0"/>
              <w:spacing w:line="360" w:lineRule="auto"/>
              <w:ind w:right="25" w:rightChars="12"/>
              <w:jc w:val="center"/>
              <w:rPr>
                <w:rFonts w:hint="eastAsia" w:ascii="楷体" w:hAnsi="楷体" w:eastAsia="楷体" w:cs="楷体"/>
                <w:spacing w:val="0"/>
                <w:sz w:val="24"/>
                <w:lang w:bidi="ar"/>
              </w:rPr>
            </w:pPr>
            <w:r>
              <w:rPr>
                <w:rFonts w:hint="eastAsia" w:ascii="楷体" w:hAnsi="楷体" w:eastAsia="楷体" w:cs="楷体"/>
                <w:bCs/>
                <w:spacing w:val="0"/>
                <w:sz w:val="24"/>
              </w:rPr>
              <w:t>常规，2uF/30kV，可扩展容值</w:t>
            </w:r>
          </w:p>
        </w:tc>
      </w:tr>
      <w:tr w14:paraId="45C5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1" w:type="dxa"/>
            <w:shd w:val="clear" w:color="auto" w:fill="auto"/>
            <w:vAlign w:val="center"/>
          </w:tcPr>
          <w:p w14:paraId="01A53745">
            <w:pPr>
              <w:autoSpaceDE w:val="0"/>
              <w:spacing w:line="360" w:lineRule="auto"/>
              <w:ind w:right="25" w:rightChars="12"/>
              <w:jc w:val="center"/>
              <w:rPr>
                <w:rFonts w:hint="eastAsia" w:ascii="楷体" w:hAnsi="楷体" w:eastAsia="楷体" w:cs="楷体"/>
                <w:spacing w:val="0"/>
                <w:sz w:val="24"/>
                <w:lang w:bidi="ar"/>
              </w:rPr>
            </w:pPr>
            <w:r>
              <w:rPr>
                <w:rFonts w:hint="eastAsia" w:ascii="楷体" w:hAnsi="楷体" w:eastAsia="楷体" w:cs="楷体"/>
                <w:bCs/>
                <w:spacing w:val="0"/>
                <w:sz w:val="24"/>
              </w:rPr>
              <w:t xml:space="preserve"> 容量偏差</w:t>
            </w:r>
          </w:p>
        </w:tc>
        <w:tc>
          <w:tcPr>
            <w:tcW w:w="4752" w:type="dxa"/>
            <w:shd w:val="clear" w:color="auto" w:fill="auto"/>
            <w:vAlign w:val="center"/>
          </w:tcPr>
          <w:p w14:paraId="1575764E">
            <w:pPr>
              <w:autoSpaceDE w:val="0"/>
              <w:spacing w:line="360" w:lineRule="auto"/>
              <w:ind w:right="25" w:rightChars="12"/>
              <w:jc w:val="center"/>
              <w:rPr>
                <w:rFonts w:hint="eastAsia" w:ascii="楷体" w:hAnsi="楷体" w:eastAsia="楷体" w:cs="楷体"/>
                <w:spacing w:val="0"/>
                <w:sz w:val="24"/>
                <w:lang w:bidi="ar"/>
              </w:rPr>
            </w:pPr>
            <w:r>
              <w:rPr>
                <w:rFonts w:hint="eastAsia" w:ascii="楷体" w:hAnsi="楷体" w:eastAsia="楷体" w:cs="楷体"/>
                <w:bCs/>
                <w:spacing w:val="0"/>
                <w:sz w:val="24"/>
              </w:rPr>
              <w:t>0</w:t>
            </w:r>
            <w:r>
              <w:rPr>
                <w:rFonts w:hint="eastAsia" w:ascii="楷体" w:hAnsi="楷体" w:eastAsia="楷体" w:cs="楷体"/>
                <w:bCs/>
                <w:spacing w:val="0"/>
                <w:sz w:val="24"/>
                <w:lang w:eastAsia="zh-CN"/>
              </w:rPr>
              <w:t>~</w:t>
            </w:r>
            <w:r>
              <w:rPr>
                <w:rFonts w:hint="eastAsia" w:ascii="楷体" w:hAnsi="楷体" w:eastAsia="楷体" w:cs="楷体"/>
                <w:bCs/>
                <w:spacing w:val="0"/>
                <w:sz w:val="24"/>
              </w:rPr>
              <w:t>+10%</w:t>
            </w:r>
          </w:p>
        </w:tc>
      </w:tr>
      <w:tr w14:paraId="112F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1" w:type="dxa"/>
            <w:shd w:val="clear" w:color="auto" w:fill="auto"/>
            <w:vAlign w:val="center"/>
          </w:tcPr>
          <w:p w14:paraId="22D3D1B9">
            <w:pPr>
              <w:autoSpaceDE w:val="0"/>
              <w:spacing w:line="360" w:lineRule="auto"/>
              <w:ind w:right="25" w:rightChars="12"/>
              <w:jc w:val="center"/>
              <w:rPr>
                <w:rFonts w:hint="eastAsia" w:ascii="楷体" w:hAnsi="楷体" w:eastAsia="楷体" w:cs="楷体"/>
                <w:spacing w:val="0"/>
                <w:sz w:val="24"/>
                <w:lang w:bidi="ar"/>
              </w:rPr>
            </w:pPr>
            <w:r>
              <w:rPr>
                <w:rFonts w:hint="eastAsia" w:ascii="楷体" w:hAnsi="楷体" w:eastAsia="楷体" w:cs="楷体"/>
                <w:bCs/>
                <w:spacing w:val="0"/>
                <w:sz w:val="24"/>
              </w:rPr>
              <w:t>工作电流</w:t>
            </w:r>
          </w:p>
        </w:tc>
        <w:tc>
          <w:tcPr>
            <w:tcW w:w="4752" w:type="dxa"/>
            <w:shd w:val="clear" w:color="auto" w:fill="auto"/>
            <w:vAlign w:val="center"/>
          </w:tcPr>
          <w:p w14:paraId="7EF6623F">
            <w:pPr>
              <w:autoSpaceDE w:val="0"/>
              <w:spacing w:line="360" w:lineRule="auto"/>
              <w:ind w:right="25" w:rightChars="12"/>
              <w:jc w:val="center"/>
              <w:rPr>
                <w:rFonts w:hint="eastAsia" w:ascii="楷体" w:hAnsi="楷体" w:eastAsia="楷体" w:cs="楷体"/>
                <w:spacing w:val="0"/>
                <w:sz w:val="24"/>
                <w:lang w:bidi="ar"/>
              </w:rPr>
            </w:pPr>
            <w:r>
              <w:rPr>
                <w:rFonts w:hint="eastAsia" w:ascii="楷体" w:hAnsi="楷体" w:eastAsia="楷体" w:cs="楷体"/>
                <w:bCs/>
                <w:spacing w:val="0"/>
                <w:sz w:val="24"/>
              </w:rPr>
              <w:t>2uF</w:t>
            </w:r>
            <w:r>
              <w:rPr>
                <w:rFonts w:hint="eastAsia" w:ascii="楷体" w:hAnsi="楷体" w:eastAsia="楷体" w:cs="楷体"/>
                <w:bCs/>
                <w:spacing w:val="0"/>
                <w:sz w:val="24"/>
                <w:lang w:eastAsia="zh-CN"/>
              </w:rPr>
              <w:t>,</w:t>
            </w:r>
            <w:r>
              <w:rPr>
                <w:rFonts w:hint="eastAsia" w:ascii="楷体" w:hAnsi="楷体" w:eastAsia="楷体" w:cs="楷体"/>
                <w:bCs/>
                <w:spacing w:val="0"/>
                <w:sz w:val="24"/>
              </w:rPr>
              <w:t>≥10 kA</w:t>
            </w:r>
          </w:p>
        </w:tc>
      </w:tr>
      <w:tr w14:paraId="2461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1" w:type="dxa"/>
            <w:shd w:val="clear" w:color="auto" w:fill="auto"/>
            <w:vAlign w:val="center"/>
          </w:tcPr>
          <w:p w14:paraId="25EEF296">
            <w:pPr>
              <w:autoSpaceDE w:val="0"/>
              <w:spacing w:line="360" w:lineRule="auto"/>
              <w:ind w:right="25" w:rightChars="12"/>
              <w:jc w:val="center"/>
              <w:rPr>
                <w:rFonts w:hint="eastAsia" w:ascii="楷体" w:hAnsi="楷体" w:eastAsia="楷体" w:cs="楷体"/>
                <w:spacing w:val="0"/>
                <w:sz w:val="24"/>
                <w:lang w:bidi="ar"/>
              </w:rPr>
            </w:pPr>
            <w:r>
              <w:rPr>
                <w:rFonts w:hint="eastAsia" w:ascii="楷体" w:hAnsi="楷体" w:eastAsia="楷体" w:cs="楷体"/>
                <w:bCs/>
                <w:spacing w:val="0"/>
                <w:sz w:val="24"/>
              </w:rPr>
              <w:t>充放电频率</w:t>
            </w:r>
          </w:p>
        </w:tc>
        <w:tc>
          <w:tcPr>
            <w:tcW w:w="4752" w:type="dxa"/>
            <w:shd w:val="clear" w:color="auto" w:fill="auto"/>
            <w:vAlign w:val="center"/>
          </w:tcPr>
          <w:p w14:paraId="1B1290A3">
            <w:pPr>
              <w:autoSpaceDE w:val="0"/>
              <w:spacing w:line="360" w:lineRule="auto"/>
              <w:ind w:right="25" w:rightChars="12"/>
              <w:jc w:val="center"/>
              <w:rPr>
                <w:rFonts w:hint="eastAsia" w:ascii="楷体" w:hAnsi="楷体" w:eastAsia="楷体" w:cs="楷体"/>
                <w:spacing w:val="0"/>
                <w:sz w:val="24"/>
                <w:lang w:bidi="ar"/>
              </w:rPr>
            </w:pPr>
            <w:r>
              <w:rPr>
                <w:rFonts w:hint="eastAsia" w:ascii="楷体" w:hAnsi="楷体" w:eastAsia="楷体" w:cs="楷体"/>
                <w:bCs/>
                <w:spacing w:val="0"/>
                <w:sz w:val="24"/>
              </w:rPr>
              <w:t>1～30次/分</w:t>
            </w:r>
          </w:p>
        </w:tc>
      </w:tr>
      <w:tr w14:paraId="3F2F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1" w:type="dxa"/>
            <w:shd w:val="clear" w:color="auto" w:fill="auto"/>
            <w:vAlign w:val="center"/>
          </w:tcPr>
          <w:p w14:paraId="0CB13EEB">
            <w:pPr>
              <w:autoSpaceDE w:val="0"/>
              <w:spacing w:line="360" w:lineRule="auto"/>
              <w:ind w:right="25" w:rightChars="12"/>
              <w:jc w:val="center"/>
              <w:rPr>
                <w:rFonts w:hint="eastAsia" w:ascii="楷体" w:hAnsi="楷体" w:eastAsia="楷体" w:cs="楷体"/>
                <w:spacing w:val="0"/>
                <w:sz w:val="24"/>
                <w:lang w:bidi="ar"/>
              </w:rPr>
            </w:pPr>
            <w:r>
              <w:rPr>
                <w:rFonts w:hint="eastAsia" w:ascii="楷体" w:hAnsi="楷体" w:eastAsia="楷体" w:cs="楷体"/>
                <w:bCs/>
                <w:spacing w:val="0"/>
                <w:sz w:val="24"/>
              </w:rPr>
              <w:t>预期寿命</w:t>
            </w:r>
          </w:p>
        </w:tc>
        <w:tc>
          <w:tcPr>
            <w:tcW w:w="4752" w:type="dxa"/>
            <w:shd w:val="clear" w:color="auto" w:fill="auto"/>
            <w:vAlign w:val="center"/>
          </w:tcPr>
          <w:p w14:paraId="07F1797B">
            <w:pPr>
              <w:autoSpaceDE w:val="0"/>
              <w:spacing w:line="360" w:lineRule="auto"/>
              <w:ind w:right="25" w:rightChars="12"/>
              <w:jc w:val="center"/>
              <w:rPr>
                <w:rFonts w:hint="eastAsia" w:ascii="楷体" w:hAnsi="楷体" w:eastAsia="楷体" w:cs="楷体"/>
                <w:spacing w:val="0"/>
                <w:sz w:val="24"/>
                <w:lang w:bidi="ar"/>
              </w:rPr>
            </w:pPr>
            <w:r>
              <w:rPr>
                <w:rFonts w:hint="eastAsia" w:ascii="楷体" w:hAnsi="楷体" w:eastAsia="楷体" w:cs="楷体"/>
                <w:bCs/>
                <w:spacing w:val="0"/>
                <w:sz w:val="24"/>
              </w:rPr>
              <w:t>≥20000次</w:t>
            </w:r>
          </w:p>
        </w:tc>
      </w:tr>
    </w:tbl>
    <w:p w14:paraId="1639E0B1">
      <w:pPr>
        <w:autoSpaceDE w:val="0"/>
        <w:spacing w:line="360" w:lineRule="auto"/>
        <w:rPr>
          <w:rFonts w:hint="eastAsia" w:ascii="楷体" w:hAnsi="楷体" w:eastAsia="楷体" w:cs="楷体"/>
          <w:b/>
          <w:bCs/>
          <w:spacing w:val="0"/>
          <w:sz w:val="24"/>
        </w:rPr>
      </w:pPr>
      <w:r>
        <w:rPr>
          <w:rFonts w:hint="eastAsia" w:ascii="楷体" w:hAnsi="楷体" w:eastAsia="楷体" w:cs="楷体"/>
          <w:b/>
          <w:bCs/>
          <w:spacing w:val="0"/>
          <w:sz w:val="24"/>
        </w:rPr>
        <w:t>使用环境</w:t>
      </w:r>
    </w:p>
    <w:p w14:paraId="0155B7D6">
      <w:pPr>
        <w:autoSpaceDE w:val="0"/>
        <w:spacing w:line="360" w:lineRule="auto"/>
        <w:ind w:left="420" w:leftChars="200"/>
        <w:rPr>
          <w:rFonts w:hint="eastAsia" w:ascii="楷体" w:hAnsi="楷体" w:eastAsia="楷体" w:cs="楷体"/>
          <w:spacing w:val="0"/>
          <w:sz w:val="24"/>
        </w:rPr>
      </w:pPr>
      <w:r>
        <w:rPr>
          <w:rFonts w:hint="eastAsia" w:ascii="楷体" w:hAnsi="楷体" w:eastAsia="楷体" w:cs="楷体"/>
          <w:bCs/>
          <w:spacing w:val="0"/>
          <w:sz w:val="24"/>
        </w:rPr>
        <w:t>安装运行地区的海拔高度不超过1000m，环境温度为-40℃～+40℃。</w:t>
      </w:r>
    </w:p>
    <w:p w14:paraId="14697704">
      <w:pPr>
        <w:autoSpaceDE w:val="0"/>
        <w:spacing w:line="360" w:lineRule="auto"/>
        <w:rPr>
          <w:rFonts w:hint="eastAsia" w:ascii="楷体" w:hAnsi="楷体" w:eastAsia="楷体" w:cs="楷体"/>
          <w:b/>
          <w:bCs/>
          <w:spacing w:val="0"/>
          <w:sz w:val="24"/>
        </w:rPr>
      </w:pPr>
      <w:r>
        <w:rPr>
          <w:rFonts w:hint="eastAsia" w:ascii="楷体" w:hAnsi="楷体" w:eastAsia="楷体" w:cs="楷体"/>
          <w:b/>
          <w:bCs/>
          <w:spacing w:val="0"/>
          <w:sz w:val="24"/>
        </w:rPr>
        <w:t>产品配置</w:t>
      </w:r>
    </w:p>
    <w:tbl>
      <w:tblPr>
        <w:tblStyle w:val="12"/>
        <w:tblW w:w="7171" w:type="dxa"/>
        <w:jc w:val="center"/>
        <w:tblLayout w:type="fixed"/>
        <w:tblCellMar>
          <w:top w:w="0" w:type="dxa"/>
          <w:left w:w="108" w:type="dxa"/>
          <w:bottom w:w="0" w:type="dxa"/>
          <w:right w:w="108" w:type="dxa"/>
        </w:tblCellMar>
      </w:tblPr>
      <w:tblGrid>
        <w:gridCol w:w="777"/>
        <w:gridCol w:w="1964"/>
        <w:gridCol w:w="914"/>
        <w:gridCol w:w="913"/>
        <w:gridCol w:w="1528"/>
        <w:gridCol w:w="1075"/>
      </w:tblGrid>
      <w:tr w14:paraId="0AECFE10">
        <w:tblPrEx>
          <w:tblCellMar>
            <w:top w:w="0" w:type="dxa"/>
            <w:left w:w="108" w:type="dxa"/>
            <w:bottom w:w="0" w:type="dxa"/>
            <w:right w:w="108" w:type="dxa"/>
          </w:tblCellMar>
        </w:tblPrEx>
        <w:trPr>
          <w:trHeight w:val="454" w:hRule="atLeast"/>
          <w:jc w:val="center"/>
        </w:trPr>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5AD8C006">
            <w:pPr>
              <w:autoSpaceDE w:val="0"/>
              <w:spacing w:line="360" w:lineRule="auto"/>
              <w:jc w:val="center"/>
              <w:rPr>
                <w:rFonts w:hint="eastAsia" w:ascii="楷体" w:hAnsi="楷体" w:eastAsia="楷体" w:cs="楷体"/>
                <w:spacing w:val="0"/>
                <w:sz w:val="24"/>
              </w:rPr>
            </w:pPr>
            <w:r>
              <w:rPr>
                <w:rFonts w:hint="eastAsia" w:ascii="楷体" w:hAnsi="楷体" w:eastAsia="楷体" w:cs="楷体"/>
                <w:spacing w:val="0"/>
                <w:sz w:val="24"/>
                <w:lang w:bidi="ar"/>
              </w:rPr>
              <w:t>1</w:t>
            </w:r>
          </w:p>
        </w:tc>
        <w:tc>
          <w:tcPr>
            <w:tcW w:w="1964" w:type="dxa"/>
            <w:tcBorders>
              <w:top w:val="single" w:color="auto" w:sz="4" w:space="0"/>
              <w:left w:val="nil"/>
              <w:bottom w:val="single" w:color="auto" w:sz="4" w:space="0"/>
              <w:right w:val="single" w:color="auto" w:sz="4" w:space="0"/>
            </w:tcBorders>
            <w:shd w:val="clear" w:color="auto" w:fill="auto"/>
            <w:vAlign w:val="center"/>
          </w:tcPr>
          <w:p w14:paraId="416D1A2B">
            <w:pPr>
              <w:autoSpaceDE w:val="0"/>
              <w:spacing w:line="360" w:lineRule="auto"/>
              <w:jc w:val="center"/>
              <w:rPr>
                <w:rFonts w:hint="eastAsia" w:ascii="楷体" w:hAnsi="楷体" w:eastAsia="楷体" w:cs="楷体"/>
                <w:spacing w:val="0"/>
                <w:sz w:val="24"/>
              </w:rPr>
            </w:pPr>
            <w:r>
              <w:rPr>
                <w:rFonts w:hint="eastAsia" w:ascii="楷体" w:hAnsi="楷体" w:eastAsia="楷体" w:cs="楷体"/>
                <w:spacing w:val="0"/>
                <w:sz w:val="24"/>
                <w:lang w:bidi="ar"/>
              </w:rPr>
              <w:t>操作箱</w:t>
            </w:r>
          </w:p>
        </w:tc>
        <w:tc>
          <w:tcPr>
            <w:tcW w:w="914" w:type="dxa"/>
            <w:tcBorders>
              <w:top w:val="single" w:color="auto" w:sz="4" w:space="0"/>
              <w:left w:val="nil"/>
              <w:bottom w:val="single" w:color="auto" w:sz="4" w:space="0"/>
              <w:right w:val="single" w:color="auto" w:sz="4" w:space="0"/>
            </w:tcBorders>
            <w:shd w:val="clear" w:color="auto" w:fill="auto"/>
            <w:vAlign w:val="center"/>
          </w:tcPr>
          <w:p w14:paraId="6001B8A5">
            <w:pPr>
              <w:autoSpaceDE w:val="0"/>
              <w:spacing w:line="360" w:lineRule="auto"/>
              <w:jc w:val="center"/>
              <w:rPr>
                <w:rFonts w:hint="eastAsia" w:ascii="楷体" w:hAnsi="楷体" w:eastAsia="楷体" w:cs="楷体"/>
                <w:spacing w:val="0"/>
                <w:sz w:val="24"/>
              </w:rPr>
            </w:pPr>
            <w:r>
              <w:rPr>
                <w:rFonts w:hint="eastAsia" w:ascii="楷体" w:hAnsi="楷体" w:eastAsia="楷体" w:cs="楷体"/>
                <w:spacing w:val="0"/>
                <w:sz w:val="24"/>
                <w:lang w:bidi="ar"/>
              </w:rPr>
              <w:t>1台</w:t>
            </w:r>
          </w:p>
        </w:tc>
        <w:tc>
          <w:tcPr>
            <w:tcW w:w="913" w:type="dxa"/>
            <w:tcBorders>
              <w:top w:val="single" w:color="auto" w:sz="4" w:space="0"/>
              <w:left w:val="nil"/>
              <w:bottom w:val="single" w:color="auto" w:sz="4" w:space="0"/>
              <w:right w:val="single" w:color="auto" w:sz="4" w:space="0"/>
            </w:tcBorders>
            <w:shd w:val="clear" w:color="auto" w:fill="auto"/>
            <w:vAlign w:val="center"/>
          </w:tcPr>
          <w:p w14:paraId="1AB19A4D">
            <w:pPr>
              <w:autoSpaceDE w:val="0"/>
              <w:spacing w:line="360" w:lineRule="auto"/>
              <w:jc w:val="center"/>
              <w:rPr>
                <w:rFonts w:hint="eastAsia" w:ascii="楷体" w:hAnsi="楷体" w:eastAsia="楷体" w:cs="楷体"/>
                <w:spacing w:val="0"/>
                <w:sz w:val="24"/>
                <w:lang w:bidi="ar"/>
              </w:rPr>
            </w:pPr>
            <w:r>
              <w:rPr>
                <w:rFonts w:hint="eastAsia" w:ascii="楷体" w:hAnsi="楷体" w:eastAsia="楷体" w:cs="楷体"/>
                <w:spacing w:val="0"/>
                <w:sz w:val="24"/>
                <w:lang w:bidi="ar"/>
              </w:rPr>
              <w:t>5</w:t>
            </w:r>
          </w:p>
        </w:tc>
        <w:tc>
          <w:tcPr>
            <w:tcW w:w="1528" w:type="dxa"/>
            <w:tcBorders>
              <w:top w:val="single" w:color="auto" w:sz="4" w:space="0"/>
              <w:left w:val="nil"/>
              <w:bottom w:val="single" w:color="auto" w:sz="4" w:space="0"/>
              <w:right w:val="single" w:color="auto" w:sz="4" w:space="0"/>
            </w:tcBorders>
            <w:shd w:val="clear" w:color="auto" w:fill="auto"/>
            <w:vAlign w:val="center"/>
          </w:tcPr>
          <w:p w14:paraId="1F83A98F">
            <w:pPr>
              <w:autoSpaceDE w:val="0"/>
              <w:spacing w:line="360" w:lineRule="auto"/>
              <w:jc w:val="center"/>
              <w:rPr>
                <w:rFonts w:hint="eastAsia" w:ascii="楷体" w:hAnsi="楷体" w:eastAsia="楷体" w:cs="楷体"/>
                <w:spacing w:val="0"/>
                <w:sz w:val="24"/>
                <w:lang w:bidi="ar"/>
              </w:rPr>
            </w:pPr>
            <w:r>
              <w:rPr>
                <w:rFonts w:hint="eastAsia" w:ascii="楷体" w:hAnsi="楷体" w:eastAsia="楷体" w:cs="楷体"/>
                <w:spacing w:val="0"/>
                <w:sz w:val="24"/>
                <w:lang w:bidi="ar"/>
              </w:rPr>
              <w:t>电源线</w:t>
            </w:r>
          </w:p>
        </w:tc>
        <w:tc>
          <w:tcPr>
            <w:tcW w:w="1075" w:type="dxa"/>
            <w:tcBorders>
              <w:top w:val="single" w:color="auto" w:sz="4" w:space="0"/>
              <w:left w:val="nil"/>
              <w:bottom w:val="single" w:color="auto" w:sz="4" w:space="0"/>
              <w:right w:val="single" w:color="auto" w:sz="4" w:space="0"/>
            </w:tcBorders>
            <w:shd w:val="clear" w:color="auto" w:fill="auto"/>
            <w:vAlign w:val="center"/>
          </w:tcPr>
          <w:p w14:paraId="467857ED">
            <w:pPr>
              <w:autoSpaceDE w:val="0"/>
              <w:spacing w:line="360" w:lineRule="auto"/>
              <w:jc w:val="center"/>
              <w:rPr>
                <w:rFonts w:hint="eastAsia" w:ascii="楷体" w:hAnsi="楷体" w:eastAsia="楷体" w:cs="楷体"/>
                <w:spacing w:val="0"/>
                <w:sz w:val="24"/>
                <w:lang w:bidi="ar"/>
              </w:rPr>
            </w:pPr>
            <w:r>
              <w:rPr>
                <w:rFonts w:hint="eastAsia" w:ascii="楷体" w:hAnsi="楷体" w:eastAsia="楷体" w:cs="楷体"/>
                <w:spacing w:val="0"/>
                <w:sz w:val="24"/>
                <w:lang w:bidi="ar"/>
              </w:rPr>
              <w:t>1根</w:t>
            </w:r>
          </w:p>
        </w:tc>
      </w:tr>
      <w:tr w14:paraId="18287DB6">
        <w:tblPrEx>
          <w:tblCellMar>
            <w:top w:w="0" w:type="dxa"/>
            <w:left w:w="108" w:type="dxa"/>
            <w:bottom w:w="0" w:type="dxa"/>
            <w:right w:w="108" w:type="dxa"/>
          </w:tblCellMar>
        </w:tblPrEx>
        <w:trPr>
          <w:trHeight w:val="454" w:hRule="atLeast"/>
          <w:jc w:val="center"/>
        </w:trPr>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33E9AAEA">
            <w:pPr>
              <w:autoSpaceDE w:val="0"/>
              <w:spacing w:line="360" w:lineRule="auto"/>
              <w:jc w:val="center"/>
              <w:rPr>
                <w:rFonts w:hint="eastAsia" w:ascii="楷体" w:hAnsi="楷体" w:eastAsia="楷体" w:cs="楷体"/>
                <w:spacing w:val="0"/>
                <w:sz w:val="24"/>
              </w:rPr>
            </w:pPr>
            <w:r>
              <w:rPr>
                <w:rFonts w:hint="eastAsia" w:ascii="楷体" w:hAnsi="楷体" w:eastAsia="楷体" w:cs="楷体"/>
                <w:spacing w:val="0"/>
                <w:sz w:val="24"/>
                <w:lang w:bidi="ar"/>
              </w:rPr>
              <w:t>2</w:t>
            </w:r>
          </w:p>
        </w:tc>
        <w:tc>
          <w:tcPr>
            <w:tcW w:w="1964" w:type="dxa"/>
            <w:tcBorders>
              <w:top w:val="single" w:color="auto" w:sz="4" w:space="0"/>
              <w:left w:val="nil"/>
              <w:bottom w:val="single" w:color="auto" w:sz="4" w:space="0"/>
              <w:right w:val="single" w:color="auto" w:sz="4" w:space="0"/>
            </w:tcBorders>
            <w:shd w:val="clear" w:color="auto" w:fill="auto"/>
            <w:vAlign w:val="center"/>
          </w:tcPr>
          <w:p w14:paraId="3397B6A1">
            <w:pPr>
              <w:autoSpaceDE w:val="0"/>
              <w:spacing w:line="360" w:lineRule="auto"/>
              <w:jc w:val="center"/>
              <w:rPr>
                <w:rFonts w:hint="eastAsia" w:ascii="楷体" w:hAnsi="楷体" w:eastAsia="楷体" w:cs="楷体"/>
                <w:spacing w:val="0"/>
                <w:sz w:val="24"/>
              </w:rPr>
            </w:pPr>
            <w:r>
              <w:rPr>
                <w:rFonts w:hint="eastAsia" w:ascii="楷体" w:hAnsi="楷体" w:eastAsia="楷体" w:cs="楷体"/>
                <w:spacing w:val="0"/>
                <w:sz w:val="24"/>
              </w:rPr>
              <w:t>试验变压器</w:t>
            </w:r>
          </w:p>
        </w:tc>
        <w:tc>
          <w:tcPr>
            <w:tcW w:w="914" w:type="dxa"/>
            <w:tcBorders>
              <w:top w:val="single" w:color="auto" w:sz="4" w:space="0"/>
              <w:left w:val="nil"/>
              <w:bottom w:val="single" w:color="auto" w:sz="4" w:space="0"/>
              <w:right w:val="single" w:color="auto" w:sz="4" w:space="0"/>
            </w:tcBorders>
            <w:shd w:val="clear" w:color="auto" w:fill="auto"/>
            <w:vAlign w:val="center"/>
          </w:tcPr>
          <w:p w14:paraId="1E95F61F">
            <w:pPr>
              <w:autoSpaceDE w:val="0"/>
              <w:spacing w:line="360" w:lineRule="auto"/>
              <w:jc w:val="center"/>
              <w:rPr>
                <w:rFonts w:hint="eastAsia" w:ascii="楷体" w:hAnsi="楷体" w:eastAsia="楷体" w:cs="楷体"/>
                <w:spacing w:val="0"/>
                <w:sz w:val="24"/>
              </w:rPr>
            </w:pPr>
            <w:r>
              <w:rPr>
                <w:rFonts w:hint="eastAsia" w:ascii="楷体" w:hAnsi="楷体" w:eastAsia="楷体" w:cs="楷体"/>
                <w:spacing w:val="0"/>
                <w:sz w:val="24"/>
                <w:lang w:bidi="ar"/>
              </w:rPr>
              <w:t>1台</w:t>
            </w:r>
          </w:p>
        </w:tc>
        <w:tc>
          <w:tcPr>
            <w:tcW w:w="913" w:type="dxa"/>
            <w:tcBorders>
              <w:top w:val="single" w:color="auto" w:sz="4" w:space="0"/>
              <w:left w:val="nil"/>
              <w:bottom w:val="single" w:color="auto" w:sz="4" w:space="0"/>
              <w:right w:val="single" w:color="auto" w:sz="4" w:space="0"/>
            </w:tcBorders>
            <w:shd w:val="clear" w:color="auto" w:fill="auto"/>
            <w:vAlign w:val="center"/>
          </w:tcPr>
          <w:p w14:paraId="0818D3EF">
            <w:pPr>
              <w:autoSpaceDE w:val="0"/>
              <w:spacing w:line="360" w:lineRule="auto"/>
              <w:jc w:val="center"/>
              <w:rPr>
                <w:rFonts w:hint="eastAsia" w:ascii="楷体" w:hAnsi="楷体" w:eastAsia="楷体" w:cs="楷体"/>
                <w:spacing w:val="0"/>
                <w:sz w:val="24"/>
                <w:lang w:bidi="ar"/>
              </w:rPr>
            </w:pPr>
            <w:r>
              <w:rPr>
                <w:rFonts w:hint="eastAsia" w:ascii="楷体" w:hAnsi="楷体" w:eastAsia="楷体" w:cs="楷体"/>
                <w:spacing w:val="0"/>
                <w:sz w:val="24"/>
                <w:lang w:bidi="ar"/>
              </w:rPr>
              <w:t>6</w:t>
            </w:r>
          </w:p>
        </w:tc>
        <w:tc>
          <w:tcPr>
            <w:tcW w:w="1528" w:type="dxa"/>
            <w:tcBorders>
              <w:top w:val="single" w:color="auto" w:sz="4" w:space="0"/>
              <w:left w:val="nil"/>
              <w:bottom w:val="single" w:color="auto" w:sz="4" w:space="0"/>
              <w:right w:val="single" w:color="auto" w:sz="4" w:space="0"/>
            </w:tcBorders>
            <w:shd w:val="clear" w:color="auto" w:fill="auto"/>
            <w:vAlign w:val="center"/>
          </w:tcPr>
          <w:p w14:paraId="7D10DB70">
            <w:pPr>
              <w:autoSpaceDE w:val="0"/>
              <w:spacing w:line="360" w:lineRule="auto"/>
              <w:jc w:val="center"/>
              <w:rPr>
                <w:rFonts w:hint="eastAsia" w:ascii="楷体" w:hAnsi="楷体" w:eastAsia="楷体" w:cs="楷体"/>
                <w:spacing w:val="0"/>
                <w:kern w:val="2"/>
                <w:sz w:val="24"/>
                <w:szCs w:val="24"/>
                <w:lang w:val="en-US" w:eastAsia="zh-CN" w:bidi="ar"/>
              </w:rPr>
            </w:pPr>
            <w:r>
              <w:rPr>
                <w:rFonts w:hint="eastAsia" w:ascii="楷体" w:hAnsi="楷体" w:eastAsia="楷体" w:cs="楷体"/>
                <w:spacing w:val="0"/>
                <w:sz w:val="24"/>
                <w:lang w:bidi="ar"/>
              </w:rPr>
              <w:t>使用说明书</w:t>
            </w:r>
          </w:p>
        </w:tc>
        <w:tc>
          <w:tcPr>
            <w:tcW w:w="1075" w:type="dxa"/>
            <w:tcBorders>
              <w:top w:val="single" w:color="auto" w:sz="4" w:space="0"/>
              <w:left w:val="nil"/>
              <w:bottom w:val="single" w:color="auto" w:sz="4" w:space="0"/>
              <w:right w:val="single" w:color="auto" w:sz="4" w:space="0"/>
            </w:tcBorders>
            <w:shd w:val="clear" w:color="auto" w:fill="auto"/>
            <w:vAlign w:val="center"/>
          </w:tcPr>
          <w:p w14:paraId="75975993">
            <w:pPr>
              <w:autoSpaceDE w:val="0"/>
              <w:spacing w:line="360" w:lineRule="auto"/>
              <w:jc w:val="center"/>
              <w:rPr>
                <w:rFonts w:hint="eastAsia" w:ascii="楷体" w:hAnsi="楷体" w:eastAsia="楷体" w:cs="楷体"/>
                <w:spacing w:val="0"/>
                <w:kern w:val="2"/>
                <w:sz w:val="24"/>
                <w:szCs w:val="24"/>
                <w:lang w:val="en-US" w:eastAsia="zh-CN" w:bidi="ar"/>
              </w:rPr>
            </w:pPr>
            <w:r>
              <w:rPr>
                <w:rFonts w:hint="eastAsia" w:ascii="楷体" w:hAnsi="楷体" w:eastAsia="楷体" w:cs="楷体"/>
                <w:spacing w:val="0"/>
                <w:sz w:val="24"/>
                <w:lang w:bidi="ar"/>
              </w:rPr>
              <w:t>1份</w:t>
            </w:r>
          </w:p>
        </w:tc>
      </w:tr>
      <w:tr w14:paraId="24BB39C9">
        <w:tblPrEx>
          <w:tblCellMar>
            <w:top w:w="0" w:type="dxa"/>
            <w:left w:w="108" w:type="dxa"/>
            <w:bottom w:w="0" w:type="dxa"/>
            <w:right w:w="108" w:type="dxa"/>
          </w:tblCellMar>
        </w:tblPrEx>
        <w:trPr>
          <w:trHeight w:val="454" w:hRule="atLeast"/>
          <w:jc w:val="center"/>
        </w:trPr>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01B5CFD7">
            <w:pPr>
              <w:autoSpaceDE w:val="0"/>
              <w:spacing w:line="360" w:lineRule="auto"/>
              <w:jc w:val="center"/>
              <w:rPr>
                <w:rFonts w:hint="eastAsia" w:ascii="楷体" w:hAnsi="楷体" w:eastAsia="楷体" w:cs="楷体"/>
                <w:spacing w:val="0"/>
                <w:sz w:val="24"/>
              </w:rPr>
            </w:pPr>
            <w:r>
              <w:rPr>
                <w:rFonts w:hint="eastAsia" w:ascii="楷体" w:hAnsi="楷体" w:eastAsia="楷体" w:cs="楷体"/>
                <w:spacing w:val="0"/>
                <w:sz w:val="24"/>
                <w:lang w:bidi="ar"/>
              </w:rPr>
              <w:t>3</w:t>
            </w:r>
          </w:p>
        </w:tc>
        <w:tc>
          <w:tcPr>
            <w:tcW w:w="1964" w:type="dxa"/>
            <w:tcBorders>
              <w:top w:val="single" w:color="auto" w:sz="4" w:space="0"/>
              <w:left w:val="nil"/>
              <w:bottom w:val="single" w:color="auto" w:sz="4" w:space="0"/>
              <w:right w:val="single" w:color="auto" w:sz="4" w:space="0"/>
            </w:tcBorders>
            <w:shd w:val="clear" w:color="auto" w:fill="auto"/>
            <w:vAlign w:val="center"/>
          </w:tcPr>
          <w:p w14:paraId="35F06F70">
            <w:pPr>
              <w:autoSpaceDE w:val="0"/>
              <w:spacing w:line="360" w:lineRule="auto"/>
              <w:jc w:val="center"/>
              <w:rPr>
                <w:rFonts w:hint="eastAsia" w:ascii="楷体" w:hAnsi="楷体" w:eastAsia="楷体" w:cs="楷体"/>
                <w:spacing w:val="0"/>
                <w:sz w:val="24"/>
              </w:rPr>
            </w:pPr>
            <w:r>
              <w:rPr>
                <w:rFonts w:hint="eastAsia" w:ascii="楷体" w:hAnsi="楷体" w:eastAsia="楷体" w:cs="楷体"/>
                <w:spacing w:val="0"/>
                <w:sz w:val="24"/>
              </w:rPr>
              <w:t>电容</w:t>
            </w:r>
          </w:p>
        </w:tc>
        <w:tc>
          <w:tcPr>
            <w:tcW w:w="914" w:type="dxa"/>
            <w:tcBorders>
              <w:top w:val="single" w:color="auto" w:sz="4" w:space="0"/>
              <w:left w:val="nil"/>
              <w:bottom w:val="single" w:color="auto" w:sz="4" w:space="0"/>
              <w:right w:val="single" w:color="auto" w:sz="4" w:space="0"/>
            </w:tcBorders>
            <w:shd w:val="clear" w:color="auto" w:fill="auto"/>
            <w:vAlign w:val="center"/>
          </w:tcPr>
          <w:p w14:paraId="55DDECAA">
            <w:pPr>
              <w:autoSpaceDE w:val="0"/>
              <w:spacing w:line="360" w:lineRule="auto"/>
              <w:jc w:val="center"/>
              <w:rPr>
                <w:rFonts w:hint="eastAsia" w:ascii="楷体" w:hAnsi="楷体" w:eastAsia="楷体" w:cs="楷体"/>
                <w:spacing w:val="0"/>
                <w:sz w:val="24"/>
              </w:rPr>
            </w:pPr>
            <w:r>
              <w:rPr>
                <w:rFonts w:hint="eastAsia" w:ascii="楷体" w:hAnsi="楷体" w:eastAsia="楷体" w:cs="楷体"/>
                <w:spacing w:val="0"/>
                <w:sz w:val="24"/>
                <w:lang w:bidi="ar"/>
              </w:rPr>
              <w:t>1只</w:t>
            </w:r>
          </w:p>
        </w:tc>
        <w:tc>
          <w:tcPr>
            <w:tcW w:w="913" w:type="dxa"/>
            <w:tcBorders>
              <w:top w:val="single" w:color="auto" w:sz="4" w:space="0"/>
              <w:left w:val="nil"/>
              <w:bottom w:val="single" w:color="auto" w:sz="4" w:space="0"/>
              <w:right w:val="single" w:color="auto" w:sz="4" w:space="0"/>
            </w:tcBorders>
            <w:shd w:val="clear" w:color="auto" w:fill="auto"/>
            <w:vAlign w:val="center"/>
          </w:tcPr>
          <w:p w14:paraId="71D23181">
            <w:pPr>
              <w:autoSpaceDE w:val="0"/>
              <w:spacing w:line="360" w:lineRule="auto"/>
              <w:jc w:val="center"/>
              <w:rPr>
                <w:rFonts w:hint="eastAsia" w:ascii="楷体" w:hAnsi="楷体" w:eastAsia="楷体" w:cs="楷体"/>
                <w:spacing w:val="0"/>
                <w:sz w:val="24"/>
                <w:lang w:bidi="ar"/>
              </w:rPr>
            </w:pPr>
            <w:r>
              <w:rPr>
                <w:rFonts w:hint="eastAsia" w:ascii="楷体" w:hAnsi="楷体" w:eastAsia="楷体" w:cs="楷体"/>
                <w:spacing w:val="0"/>
                <w:sz w:val="24"/>
                <w:lang w:bidi="ar"/>
              </w:rPr>
              <w:t>7</w:t>
            </w:r>
          </w:p>
        </w:tc>
        <w:tc>
          <w:tcPr>
            <w:tcW w:w="1528" w:type="dxa"/>
            <w:tcBorders>
              <w:top w:val="single" w:color="auto" w:sz="4" w:space="0"/>
              <w:left w:val="nil"/>
              <w:bottom w:val="single" w:color="auto" w:sz="4" w:space="0"/>
              <w:right w:val="single" w:color="auto" w:sz="4" w:space="0"/>
            </w:tcBorders>
            <w:shd w:val="clear" w:color="auto" w:fill="auto"/>
            <w:vAlign w:val="center"/>
          </w:tcPr>
          <w:p w14:paraId="23D7C559">
            <w:pPr>
              <w:autoSpaceDE w:val="0"/>
              <w:spacing w:line="360" w:lineRule="auto"/>
              <w:jc w:val="center"/>
              <w:rPr>
                <w:rFonts w:hint="eastAsia" w:ascii="楷体" w:hAnsi="楷体" w:eastAsia="楷体" w:cs="楷体"/>
                <w:spacing w:val="0"/>
                <w:kern w:val="2"/>
                <w:sz w:val="24"/>
                <w:szCs w:val="24"/>
                <w:lang w:val="en-US" w:eastAsia="zh-CN" w:bidi="ar"/>
              </w:rPr>
            </w:pPr>
            <w:r>
              <w:rPr>
                <w:rFonts w:hint="eastAsia" w:ascii="楷体" w:hAnsi="楷体" w:eastAsia="楷体" w:cs="楷体"/>
                <w:spacing w:val="0"/>
                <w:sz w:val="24"/>
                <w:lang w:bidi="ar"/>
              </w:rPr>
              <w:t>合格证</w:t>
            </w:r>
          </w:p>
        </w:tc>
        <w:tc>
          <w:tcPr>
            <w:tcW w:w="1075" w:type="dxa"/>
            <w:tcBorders>
              <w:top w:val="single" w:color="auto" w:sz="4" w:space="0"/>
              <w:left w:val="nil"/>
              <w:bottom w:val="single" w:color="auto" w:sz="4" w:space="0"/>
              <w:right w:val="single" w:color="auto" w:sz="4" w:space="0"/>
            </w:tcBorders>
            <w:shd w:val="clear" w:color="auto" w:fill="auto"/>
            <w:vAlign w:val="center"/>
          </w:tcPr>
          <w:p w14:paraId="147BDFCE">
            <w:pPr>
              <w:autoSpaceDE w:val="0"/>
              <w:spacing w:line="360" w:lineRule="auto"/>
              <w:jc w:val="center"/>
              <w:rPr>
                <w:rFonts w:hint="eastAsia" w:ascii="楷体" w:hAnsi="楷体" w:eastAsia="楷体" w:cs="楷体"/>
                <w:spacing w:val="0"/>
                <w:kern w:val="2"/>
                <w:sz w:val="24"/>
                <w:szCs w:val="24"/>
                <w:lang w:val="en-US" w:eastAsia="zh-CN" w:bidi="ar"/>
              </w:rPr>
            </w:pPr>
            <w:r>
              <w:rPr>
                <w:rFonts w:hint="eastAsia" w:ascii="楷体" w:hAnsi="楷体" w:eastAsia="楷体" w:cs="楷体"/>
                <w:spacing w:val="0"/>
                <w:sz w:val="24"/>
                <w:lang w:bidi="ar"/>
              </w:rPr>
              <w:t>1张</w:t>
            </w:r>
          </w:p>
        </w:tc>
      </w:tr>
      <w:tr w14:paraId="1F28C353">
        <w:tblPrEx>
          <w:tblCellMar>
            <w:top w:w="0" w:type="dxa"/>
            <w:left w:w="108" w:type="dxa"/>
            <w:bottom w:w="0" w:type="dxa"/>
            <w:right w:w="108" w:type="dxa"/>
          </w:tblCellMar>
        </w:tblPrEx>
        <w:trPr>
          <w:trHeight w:val="454" w:hRule="atLeast"/>
          <w:jc w:val="center"/>
        </w:trPr>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11E02197">
            <w:pPr>
              <w:autoSpaceDE w:val="0"/>
              <w:spacing w:line="360" w:lineRule="auto"/>
              <w:jc w:val="center"/>
              <w:rPr>
                <w:rFonts w:hint="eastAsia" w:ascii="楷体" w:hAnsi="楷体" w:eastAsia="楷体" w:cs="楷体"/>
                <w:spacing w:val="0"/>
                <w:sz w:val="24"/>
              </w:rPr>
            </w:pPr>
            <w:r>
              <w:rPr>
                <w:rFonts w:hint="eastAsia" w:ascii="楷体" w:hAnsi="楷体" w:eastAsia="楷体" w:cs="楷体"/>
                <w:spacing w:val="0"/>
                <w:sz w:val="24"/>
                <w:lang w:bidi="ar"/>
              </w:rPr>
              <w:t>4</w:t>
            </w:r>
          </w:p>
        </w:tc>
        <w:tc>
          <w:tcPr>
            <w:tcW w:w="1964" w:type="dxa"/>
            <w:tcBorders>
              <w:top w:val="single" w:color="auto" w:sz="4" w:space="0"/>
              <w:left w:val="nil"/>
              <w:bottom w:val="single" w:color="auto" w:sz="4" w:space="0"/>
              <w:right w:val="single" w:color="auto" w:sz="4" w:space="0"/>
            </w:tcBorders>
            <w:shd w:val="clear" w:color="auto" w:fill="auto"/>
            <w:vAlign w:val="center"/>
          </w:tcPr>
          <w:p w14:paraId="25E14F10">
            <w:pPr>
              <w:autoSpaceDE w:val="0"/>
              <w:spacing w:line="360" w:lineRule="auto"/>
              <w:jc w:val="center"/>
              <w:rPr>
                <w:rFonts w:hint="eastAsia" w:ascii="楷体" w:hAnsi="楷体" w:eastAsia="楷体" w:cs="楷体"/>
                <w:spacing w:val="0"/>
                <w:sz w:val="24"/>
              </w:rPr>
            </w:pPr>
            <w:r>
              <w:rPr>
                <w:rFonts w:hint="eastAsia" w:ascii="楷体" w:hAnsi="楷体" w:eastAsia="楷体" w:cs="楷体"/>
                <w:spacing w:val="0"/>
                <w:sz w:val="24"/>
                <w:lang w:bidi="ar"/>
              </w:rPr>
              <w:t>连接线</w:t>
            </w:r>
          </w:p>
        </w:tc>
        <w:tc>
          <w:tcPr>
            <w:tcW w:w="914" w:type="dxa"/>
            <w:tcBorders>
              <w:top w:val="single" w:color="auto" w:sz="4" w:space="0"/>
              <w:left w:val="nil"/>
              <w:bottom w:val="single" w:color="auto" w:sz="4" w:space="0"/>
              <w:right w:val="single" w:color="auto" w:sz="4" w:space="0"/>
            </w:tcBorders>
            <w:shd w:val="clear" w:color="auto" w:fill="auto"/>
            <w:vAlign w:val="center"/>
          </w:tcPr>
          <w:p w14:paraId="0BE3B162">
            <w:pPr>
              <w:autoSpaceDE w:val="0"/>
              <w:spacing w:line="360" w:lineRule="auto"/>
              <w:jc w:val="center"/>
              <w:rPr>
                <w:rFonts w:hint="eastAsia" w:ascii="楷体" w:hAnsi="楷体" w:eastAsia="楷体" w:cs="楷体"/>
                <w:spacing w:val="0"/>
                <w:sz w:val="24"/>
              </w:rPr>
            </w:pPr>
            <w:r>
              <w:rPr>
                <w:rFonts w:hint="eastAsia" w:ascii="楷体" w:hAnsi="楷体" w:eastAsia="楷体" w:cs="楷体"/>
                <w:spacing w:val="0"/>
                <w:sz w:val="24"/>
                <w:lang w:bidi="ar"/>
              </w:rPr>
              <w:t>1套</w:t>
            </w:r>
          </w:p>
        </w:tc>
        <w:tc>
          <w:tcPr>
            <w:tcW w:w="913" w:type="dxa"/>
            <w:tcBorders>
              <w:top w:val="single" w:color="auto" w:sz="4" w:space="0"/>
              <w:left w:val="nil"/>
              <w:bottom w:val="single" w:color="auto" w:sz="4" w:space="0"/>
              <w:right w:val="single" w:color="auto" w:sz="4" w:space="0"/>
            </w:tcBorders>
            <w:shd w:val="clear" w:color="auto" w:fill="auto"/>
            <w:vAlign w:val="center"/>
          </w:tcPr>
          <w:p w14:paraId="4B80050A">
            <w:pPr>
              <w:autoSpaceDE w:val="0"/>
              <w:spacing w:line="360" w:lineRule="auto"/>
              <w:jc w:val="center"/>
              <w:rPr>
                <w:rFonts w:hint="eastAsia" w:ascii="楷体" w:hAnsi="楷体" w:eastAsia="楷体" w:cs="楷体"/>
                <w:spacing w:val="0"/>
                <w:sz w:val="24"/>
                <w:lang w:bidi="ar"/>
              </w:rPr>
            </w:pPr>
          </w:p>
        </w:tc>
        <w:tc>
          <w:tcPr>
            <w:tcW w:w="1528" w:type="dxa"/>
            <w:tcBorders>
              <w:top w:val="single" w:color="auto" w:sz="4" w:space="0"/>
              <w:left w:val="nil"/>
              <w:bottom w:val="single" w:color="auto" w:sz="4" w:space="0"/>
              <w:right w:val="single" w:color="auto" w:sz="4" w:space="0"/>
            </w:tcBorders>
            <w:shd w:val="clear" w:color="auto" w:fill="auto"/>
            <w:vAlign w:val="center"/>
          </w:tcPr>
          <w:p w14:paraId="737A1CA8">
            <w:pPr>
              <w:autoSpaceDE w:val="0"/>
              <w:spacing w:line="360" w:lineRule="auto"/>
              <w:jc w:val="center"/>
              <w:rPr>
                <w:rFonts w:hint="eastAsia" w:ascii="楷体" w:hAnsi="楷体" w:eastAsia="楷体" w:cs="楷体"/>
                <w:spacing w:val="0"/>
                <w:sz w:val="24"/>
                <w:lang w:bidi="ar"/>
              </w:rPr>
            </w:pPr>
          </w:p>
        </w:tc>
        <w:tc>
          <w:tcPr>
            <w:tcW w:w="1075" w:type="dxa"/>
            <w:tcBorders>
              <w:top w:val="single" w:color="auto" w:sz="4" w:space="0"/>
              <w:left w:val="nil"/>
              <w:bottom w:val="single" w:color="auto" w:sz="4" w:space="0"/>
              <w:right w:val="single" w:color="auto" w:sz="4" w:space="0"/>
            </w:tcBorders>
            <w:shd w:val="clear" w:color="auto" w:fill="auto"/>
            <w:vAlign w:val="center"/>
          </w:tcPr>
          <w:p w14:paraId="765C8507">
            <w:pPr>
              <w:autoSpaceDE w:val="0"/>
              <w:spacing w:line="360" w:lineRule="auto"/>
              <w:jc w:val="center"/>
              <w:rPr>
                <w:rFonts w:hint="eastAsia" w:ascii="楷体" w:hAnsi="楷体" w:eastAsia="楷体" w:cs="楷体"/>
                <w:spacing w:val="0"/>
                <w:sz w:val="24"/>
                <w:lang w:bidi="ar"/>
              </w:rPr>
            </w:pPr>
          </w:p>
        </w:tc>
      </w:tr>
    </w:tbl>
    <w:p w14:paraId="5A158A52">
      <w:pPr>
        <w:autoSpaceDE w:val="0"/>
        <w:spacing w:line="360" w:lineRule="auto"/>
        <w:rPr>
          <w:rFonts w:hint="default" w:ascii="楷体" w:hAnsi="楷体" w:eastAsia="楷体" w:cs="楷体"/>
          <w:b/>
          <w:bCs/>
          <w:spacing w:val="0"/>
          <w:sz w:val="24"/>
          <w:lang w:val="en-US" w:eastAsia="zh-CN" w:bidi="ar"/>
        </w:rPr>
      </w:pPr>
      <w:r>
        <w:rPr>
          <w:rFonts w:hint="eastAsia" w:ascii="楷体" w:hAnsi="楷体" w:eastAsia="楷体" w:cs="楷体"/>
          <w:b/>
          <w:bCs/>
          <w:spacing w:val="0"/>
          <w:sz w:val="24"/>
          <w:lang w:bidi="ar"/>
        </w:rPr>
        <w:t>系统接线</w:t>
      </w:r>
      <w:r>
        <w:rPr>
          <w:rFonts w:hint="eastAsia" w:ascii="楷体" w:hAnsi="楷体" w:eastAsia="楷体" w:cs="楷体"/>
          <w:b/>
          <w:bCs/>
          <w:spacing w:val="0"/>
          <w:sz w:val="24"/>
          <w:lang w:val="en-US" w:eastAsia="zh-CN" w:bidi="ar"/>
        </w:rPr>
        <w:t>图1</w:t>
      </w:r>
    </w:p>
    <w:p w14:paraId="08E43AEA">
      <w:pPr>
        <w:jc w:val="center"/>
        <w:rPr>
          <w:rFonts w:hint="eastAsia"/>
          <w:lang w:eastAsia="zh-CN"/>
        </w:rPr>
      </w:pPr>
    </w:p>
    <w:p w14:paraId="10D71642">
      <w:pPr>
        <w:jc w:val="center"/>
        <w:rPr>
          <w:rFonts w:hint="eastAsia"/>
          <w:lang w:eastAsia="zh-CN"/>
        </w:rPr>
      </w:pPr>
      <w:r>
        <w:rPr>
          <w:rFonts w:hint="eastAsia"/>
          <w:lang w:eastAsia="zh-CN"/>
        </w:rPr>
        <w:drawing>
          <wp:anchor distT="0" distB="0" distL="114300" distR="114300" simplePos="0" relativeHeight="251663360" behindDoc="0" locked="0" layoutInCell="1" allowOverlap="1">
            <wp:simplePos x="0" y="0"/>
            <wp:positionH relativeFrom="column">
              <wp:posOffset>-8890</wp:posOffset>
            </wp:positionH>
            <wp:positionV relativeFrom="paragraph">
              <wp:posOffset>59690</wp:posOffset>
            </wp:positionV>
            <wp:extent cx="5734050" cy="3022600"/>
            <wp:effectExtent l="0" t="0" r="6350" b="0"/>
            <wp:wrapNone/>
            <wp:docPr id="2" name="图片 2" descr="c6b325259c4ab7bcbdce36df8e1c6c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6b325259c4ab7bcbdce36df8e1c6c88"/>
                    <pic:cNvPicPr>
                      <a:picLocks noChangeAspect="1"/>
                    </pic:cNvPicPr>
                  </pic:nvPicPr>
                  <pic:blipFill>
                    <a:blip r:embed="rId14"/>
                    <a:stretch>
                      <a:fillRect/>
                    </a:stretch>
                  </pic:blipFill>
                  <pic:spPr>
                    <a:xfrm>
                      <a:off x="0" y="0"/>
                      <a:ext cx="5734050" cy="3022600"/>
                    </a:xfrm>
                    <a:prstGeom prst="rect">
                      <a:avLst/>
                    </a:prstGeom>
                  </pic:spPr>
                </pic:pic>
              </a:graphicData>
            </a:graphic>
          </wp:anchor>
        </w:drawing>
      </w:r>
    </w:p>
    <w:p w14:paraId="61DB7083">
      <w:pPr>
        <w:jc w:val="center"/>
        <w:rPr>
          <w:rFonts w:hint="eastAsia"/>
          <w:lang w:eastAsia="zh-CN"/>
        </w:rPr>
      </w:pPr>
    </w:p>
    <w:p w14:paraId="3C67D0C6">
      <w:pPr>
        <w:jc w:val="center"/>
        <w:rPr>
          <w:rFonts w:hint="eastAsia"/>
          <w:lang w:eastAsia="zh-CN"/>
        </w:rPr>
      </w:pPr>
    </w:p>
    <w:p w14:paraId="139444D0">
      <w:pPr>
        <w:jc w:val="center"/>
        <w:rPr>
          <w:rFonts w:hint="eastAsia"/>
          <w:lang w:eastAsia="zh-CN"/>
        </w:rPr>
      </w:pPr>
    </w:p>
    <w:p w14:paraId="08F624F3">
      <w:pPr>
        <w:jc w:val="center"/>
        <w:rPr>
          <w:rFonts w:hint="eastAsia"/>
          <w:lang w:eastAsia="zh-CN"/>
        </w:rPr>
      </w:pPr>
    </w:p>
    <w:p w14:paraId="0E8CFF21">
      <w:pPr>
        <w:jc w:val="center"/>
        <w:rPr>
          <w:rFonts w:hint="eastAsia"/>
          <w:lang w:eastAsia="zh-CN"/>
        </w:rPr>
      </w:pPr>
    </w:p>
    <w:p w14:paraId="3EA9D91F">
      <w:pPr>
        <w:jc w:val="center"/>
        <w:rPr>
          <w:rFonts w:hint="eastAsia"/>
          <w:lang w:eastAsia="zh-CN"/>
        </w:rPr>
      </w:pPr>
    </w:p>
    <w:p w14:paraId="0E409960">
      <w:pPr>
        <w:jc w:val="center"/>
        <w:rPr>
          <w:rFonts w:hint="eastAsia"/>
          <w:lang w:eastAsia="zh-CN"/>
        </w:rPr>
      </w:pPr>
    </w:p>
    <w:p w14:paraId="32CA7239">
      <w:pPr>
        <w:jc w:val="center"/>
        <w:rPr>
          <w:rFonts w:hint="eastAsia"/>
          <w:lang w:eastAsia="zh-CN"/>
        </w:rPr>
      </w:pPr>
    </w:p>
    <w:p w14:paraId="6D4B7EAD">
      <w:pPr>
        <w:jc w:val="center"/>
        <w:rPr>
          <w:rFonts w:hint="eastAsia"/>
          <w:lang w:eastAsia="zh-CN"/>
        </w:rPr>
      </w:pPr>
    </w:p>
    <w:p w14:paraId="7F469E05">
      <w:pPr>
        <w:jc w:val="center"/>
        <w:rPr>
          <w:rFonts w:hint="eastAsia"/>
          <w:lang w:eastAsia="zh-CN"/>
        </w:rPr>
      </w:pPr>
    </w:p>
    <w:p w14:paraId="48F44401">
      <w:pPr>
        <w:jc w:val="center"/>
        <w:rPr>
          <w:rFonts w:hint="eastAsia"/>
          <w:lang w:eastAsia="zh-CN"/>
        </w:rPr>
      </w:pPr>
    </w:p>
    <w:p w14:paraId="7D38B46E">
      <w:pPr>
        <w:jc w:val="center"/>
        <w:rPr>
          <w:rFonts w:hint="eastAsia"/>
          <w:lang w:eastAsia="zh-CN"/>
        </w:rPr>
      </w:pPr>
    </w:p>
    <w:p w14:paraId="0CD4E775">
      <w:pPr>
        <w:jc w:val="center"/>
        <w:rPr>
          <w:rFonts w:hint="eastAsia"/>
          <w:lang w:eastAsia="zh-CN"/>
        </w:rPr>
      </w:pPr>
    </w:p>
    <w:p w14:paraId="2F8B5EF0">
      <w:pPr>
        <w:jc w:val="center"/>
        <w:rPr>
          <w:rFonts w:hint="eastAsia"/>
          <w:lang w:eastAsia="zh-CN"/>
        </w:rPr>
      </w:pPr>
    </w:p>
    <w:p w14:paraId="0C1C1336">
      <w:pPr>
        <w:autoSpaceDE w:val="0"/>
        <w:spacing w:line="360" w:lineRule="auto"/>
        <w:rPr>
          <w:rFonts w:hint="eastAsia" w:ascii="楷体" w:hAnsi="楷体" w:eastAsia="楷体" w:cs="楷体"/>
          <w:b/>
          <w:bCs/>
          <w:spacing w:val="0"/>
          <w:sz w:val="24"/>
          <w:lang w:val="en-US" w:eastAsia="zh-CN" w:bidi="ar"/>
        </w:rPr>
      </w:pPr>
    </w:p>
    <w:p w14:paraId="7C212C13">
      <w:pPr>
        <w:autoSpaceDE w:val="0"/>
        <w:spacing w:line="360" w:lineRule="auto"/>
        <w:rPr>
          <w:rFonts w:hint="eastAsia" w:ascii="楷体" w:hAnsi="楷体" w:eastAsia="楷体" w:cs="楷体"/>
          <w:b/>
          <w:bCs/>
          <w:spacing w:val="0"/>
          <w:sz w:val="24"/>
          <w:lang w:val="en-US" w:eastAsia="zh-CN" w:bidi="ar"/>
        </w:rPr>
      </w:pPr>
    </w:p>
    <w:p w14:paraId="51F19F68">
      <w:pPr>
        <w:autoSpaceDE w:val="0"/>
        <w:spacing w:line="360" w:lineRule="auto"/>
        <w:rPr>
          <w:rFonts w:hint="eastAsia" w:ascii="楷体" w:hAnsi="楷体" w:eastAsia="楷体" w:cs="楷体"/>
          <w:b/>
          <w:bCs/>
          <w:spacing w:val="0"/>
          <w:sz w:val="24"/>
          <w:lang w:val="en-US" w:eastAsia="zh-CN" w:bidi="ar"/>
        </w:rPr>
      </w:pPr>
      <w:r>
        <w:rPr>
          <w:rFonts w:hint="eastAsia" w:ascii="楷体" w:hAnsi="楷体" w:eastAsia="楷体" w:cs="楷体"/>
          <w:b/>
          <w:bCs/>
          <w:spacing w:val="0"/>
          <w:sz w:val="24"/>
          <w:lang w:val="en-US" w:eastAsia="zh-CN" w:bidi="ar"/>
        </w:rPr>
        <w:t>系统接线图2</w:t>
      </w:r>
    </w:p>
    <w:p w14:paraId="1684A6D4">
      <w:pPr>
        <w:autoSpaceDE w:val="0"/>
        <w:spacing w:line="360" w:lineRule="auto"/>
        <w:rPr>
          <w:rFonts w:hint="eastAsia" w:ascii="楷体" w:hAnsi="楷体" w:eastAsia="楷体" w:cs="楷体"/>
          <w:b/>
          <w:bCs/>
          <w:spacing w:val="0"/>
          <w:sz w:val="24"/>
          <w:lang w:val="en-US" w:eastAsia="zh-CN" w:bidi="ar"/>
        </w:rPr>
      </w:pPr>
      <w:r>
        <w:rPr>
          <w:rFonts w:hint="eastAsia" w:ascii="楷体" w:hAnsi="楷体" w:eastAsia="楷体" w:cs="楷体"/>
          <w:b/>
          <w:bCs/>
          <w:spacing w:val="0"/>
          <w:sz w:val="24"/>
          <w:lang w:val="en-US" w:eastAsia="zh-CN" w:bidi="ar"/>
        </w:rPr>
        <w:drawing>
          <wp:inline distT="0" distB="0" distL="114300" distR="114300">
            <wp:extent cx="5751195" cy="3206750"/>
            <wp:effectExtent l="0" t="0" r="1905" b="6350"/>
            <wp:docPr id="8" name="图片 8" descr="dc5b1965d401061aef39659b1a6a0c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c5b1965d401061aef39659b1a6a0c29"/>
                    <pic:cNvPicPr>
                      <a:picLocks noChangeAspect="1"/>
                    </pic:cNvPicPr>
                  </pic:nvPicPr>
                  <pic:blipFill>
                    <a:blip r:embed="rId15"/>
                    <a:stretch>
                      <a:fillRect/>
                    </a:stretch>
                  </pic:blipFill>
                  <pic:spPr>
                    <a:xfrm>
                      <a:off x="0" y="0"/>
                      <a:ext cx="5751195" cy="3206750"/>
                    </a:xfrm>
                    <a:prstGeom prst="rect">
                      <a:avLst/>
                    </a:prstGeom>
                  </pic:spPr>
                </pic:pic>
              </a:graphicData>
            </a:graphic>
          </wp:inline>
        </w:drawing>
      </w:r>
    </w:p>
    <w:p w14:paraId="66B260B0">
      <w:pPr>
        <w:autoSpaceDE w:val="0"/>
        <w:spacing w:line="360" w:lineRule="auto"/>
        <w:rPr>
          <w:rFonts w:hint="eastAsia" w:ascii="楷体" w:hAnsi="楷体" w:eastAsia="楷体" w:cs="楷体"/>
          <w:b/>
          <w:bCs/>
          <w:spacing w:val="0"/>
          <w:sz w:val="24"/>
          <w:lang w:val="en-US" w:eastAsia="zh-CN" w:bidi="ar"/>
        </w:rPr>
      </w:pPr>
    </w:p>
    <w:p w14:paraId="45274A63">
      <w:pPr>
        <w:autoSpaceDE w:val="0"/>
        <w:spacing w:line="360" w:lineRule="auto"/>
        <w:rPr>
          <w:rFonts w:hint="eastAsia" w:ascii="楷体" w:hAnsi="楷体" w:eastAsia="楷体" w:cs="楷体"/>
          <w:b/>
          <w:bCs/>
          <w:spacing w:val="0"/>
          <w:sz w:val="24"/>
          <w:lang w:val="en-US" w:eastAsia="zh-CN" w:bidi="ar"/>
        </w:rPr>
      </w:pPr>
    </w:p>
    <w:p w14:paraId="4A98F300">
      <w:pPr>
        <w:autoSpaceDE w:val="0"/>
        <w:spacing w:line="360" w:lineRule="auto"/>
        <w:rPr>
          <w:rFonts w:hint="default" w:ascii="楷体" w:hAnsi="楷体" w:eastAsia="楷体" w:cs="楷体"/>
          <w:b/>
          <w:bCs/>
          <w:spacing w:val="0"/>
          <w:sz w:val="24"/>
          <w:lang w:val="en-US" w:eastAsia="zh-CN" w:bidi="ar"/>
        </w:rPr>
      </w:pPr>
    </w:p>
    <w:p w14:paraId="114A2617">
      <w:pPr>
        <w:jc w:val="center"/>
        <w:rPr>
          <w:rFonts w:hint="eastAsia"/>
        </w:rPr>
      </w:pPr>
    </w:p>
    <w:p w14:paraId="2AA5D77F">
      <w:pPr>
        <w:rPr>
          <w:rFonts w:hint="eastAsia" w:ascii="楷体" w:hAnsi="楷体" w:eastAsia="楷体" w:cs="楷体"/>
          <w:spacing w:val="0"/>
        </w:rPr>
      </w:pPr>
    </w:p>
    <w:p w14:paraId="07E38104">
      <w:pPr>
        <w:jc w:val="center"/>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HNE-30F 电缆故障综合测试仪</w:t>
      </w:r>
    </w:p>
    <w:p w14:paraId="5073361C">
      <w:pPr>
        <w:jc w:val="center"/>
        <w:rPr>
          <w:rFonts w:hint="eastAsia" w:ascii="楷体" w:hAnsi="楷体" w:eastAsia="楷体" w:cs="楷体"/>
          <w:spacing w:val="0"/>
        </w:rPr>
      </w:pPr>
      <w:r>
        <w:rPr>
          <w:rFonts w:hint="eastAsia" w:ascii="微软雅黑" w:hAnsi="微软雅黑" w:eastAsia="微软雅黑" w:cs="微软雅黑"/>
          <w:b/>
          <w:bCs/>
          <w:sz w:val="36"/>
          <w:szCs w:val="36"/>
          <w:lang w:val="en-US" w:eastAsia="zh-CN"/>
        </w:rPr>
        <w:t>装箱清单</w:t>
      </w:r>
    </w:p>
    <w:p w14:paraId="6F732332">
      <w:pPr>
        <w:rPr>
          <w:rFonts w:hint="eastAsia" w:ascii="楷体" w:hAnsi="楷体" w:eastAsia="楷体" w:cs="楷体"/>
          <w:spacing w:val="0"/>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3522"/>
        <w:gridCol w:w="802"/>
        <w:gridCol w:w="787"/>
        <w:gridCol w:w="3156"/>
      </w:tblGrid>
      <w:tr w14:paraId="001D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41906C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序号</w:t>
            </w:r>
          </w:p>
        </w:tc>
        <w:tc>
          <w:tcPr>
            <w:tcW w:w="3522" w:type="dxa"/>
            <w:noWrap w:val="0"/>
            <w:vAlign w:val="center"/>
          </w:tcPr>
          <w:p w14:paraId="56279C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lang w:val="en-US" w:eastAsia="zh-CN"/>
              </w:rPr>
              <w:t>名称及型号</w:t>
            </w:r>
          </w:p>
        </w:tc>
        <w:tc>
          <w:tcPr>
            <w:tcW w:w="802" w:type="dxa"/>
            <w:noWrap w:val="0"/>
            <w:vAlign w:val="center"/>
          </w:tcPr>
          <w:p w14:paraId="192E93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rPr>
              <w:t>单</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位</w:t>
            </w:r>
          </w:p>
        </w:tc>
        <w:tc>
          <w:tcPr>
            <w:tcW w:w="787" w:type="dxa"/>
            <w:noWrap w:val="0"/>
            <w:vAlign w:val="center"/>
          </w:tcPr>
          <w:p w14:paraId="31AF56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rPr>
              <w:t>数</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量</w:t>
            </w:r>
          </w:p>
        </w:tc>
        <w:tc>
          <w:tcPr>
            <w:tcW w:w="3156" w:type="dxa"/>
            <w:noWrap w:val="0"/>
            <w:vAlign w:val="center"/>
          </w:tcPr>
          <w:p w14:paraId="22F3F2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rPr>
              <w:t>备     注</w:t>
            </w:r>
          </w:p>
        </w:tc>
      </w:tr>
      <w:tr w14:paraId="18F9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shd w:val="clear" w:color="auto" w:fill="D7D7D7"/>
            <w:noWrap w:val="0"/>
            <w:vAlign w:val="center"/>
          </w:tcPr>
          <w:p w14:paraId="766394E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vertAlign w:val="baseline"/>
                <w:lang w:val="en-US" w:eastAsia="zh-CN"/>
              </w:rPr>
              <w:t>1</w:t>
            </w:r>
          </w:p>
        </w:tc>
        <w:tc>
          <w:tcPr>
            <w:tcW w:w="8267" w:type="dxa"/>
            <w:gridSpan w:val="4"/>
            <w:shd w:val="clear" w:color="auto" w:fill="D7D7D7"/>
            <w:noWrap w:val="0"/>
            <w:vAlign w:val="center"/>
          </w:tcPr>
          <w:p w14:paraId="3C8578C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color w:val="FF0000"/>
                <w:sz w:val="24"/>
                <w:szCs w:val="24"/>
              </w:rPr>
              <w:t>HNE-30F</w:t>
            </w:r>
            <w:r>
              <w:rPr>
                <w:rFonts w:hint="eastAsia" w:ascii="宋体" w:hAnsi="宋体" w:eastAsia="宋体" w:cs="宋体"/>
                <w:b w:val="0"/>
                <w:bCs w:val="0"/>
                <w:sz w:val="24"/>
                <w:szCs w:val="24"/>
              </w:rPr>
              <w:t xml:space="preserve"> 电缆故障测距仪</w:t>
            </w:r>
          </w:p>
        </w:tc>
      </w:tr>
      <w:tr w14:paraId="10DE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69B8C6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b w:val="0"/>
                <w:bCs w:val="0"/>
                <w:sz w:val="24"/>
                <w:szCs w:val="24"/>
                <w:vertAlign w:val="baseline"/>
                <w:lang w:val="en-US" w:eastAsia="zh-CN"/>
              </w:rPr>
              <w:t>1.1</w:t>
            </w:r>
          </w:p>
        </w:tc>
        <w:tc>
          <w:tcPr>
            <w:tcW w:w="3522" w:type="dxa"/>
            <w:noWrap w:val="0"/>
            <w:vAlign w:val="center"/>
          </w:tcPr>
          <w:p w14:paraId="551A80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sz w:val="24"/>
                <w:szCs w:val="24"/>
              </w:rPr>
              <w:t>电缆故障测距仪</w:t>
            </w:r>
          </w:p>
        </w:tc>
        <w:tc>
          <w:tcPr>
            <w:tcW w:w="802" w:type="dxa"/>
            <w:noWrap w:val="0"/>
            <w:vAlign w:val="center"/>
          </w:tcPr>
          <w:p w14:paraId="314686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台</w:t>
            </w:r>
          </w:p>
        </w:tc>
        <w:tc>
          <w:tcPr>
            <w:tcW w:w="787" w:type="dxa"/>
            <w:noWrap w:val="0"/>
            <w:vAlign w:val="center"/>
          </w:tcPr>
          <w:p w14:paraId="5082AC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47D841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工控防护箱</w:t>
            </w:r>
          </w:p>
        </w:tc>
      </w:tr>
      <w:tr w14:paraId="7DC6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4F3044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1.2</w:t>
            </w:r>
          </w:p>
        </w:tc>
        <w:tc>
          <w:tcPr>
            <w:tcW w:w="3522" w:type="dxa"/>
            <w:noWrap w:val="0"/>
            <w:vAlign w:val="center"/>
          </w:tcPr>
          <w:p w14:paraId="01C590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充电器</w:t>
            </w:r>
          </w:p>
        </w:tc>
        <w:tc>
          <w:tcPr>
            <w:tcW w:w="802" w:type="dxa"/>
            <w:noWrap w:val="0"/>
            <w:vAlign w:val="center"/>
          </w:tcPr>
          <w:p w14:paraId="5B6381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只</w:t>
            </w:r>
          </w:p>
        </w:tc>
        <w:tc>
          <w:tcPr>
            <w:tcW w:w="787" w:type="dxa"/>
            <w:noWrap w:val="0"/>
            <w:vAlign w:val="center"/>
          </w:tcPr>
          <w:p w14:paraId="767C83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6E3CFE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8.4V/1000mA</w:t>
            </w:r>
          </w:p>
        </w:tc>
      </w:tr>
      <w:tr w14:paraId="5C2A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610DC1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1.3</w:t>
            </w:r>
          </w:p>
        </w:tc>
        <w:tc>
          <w:tcPr>
            <w:tcW w:w="3522" w:type="dxa"/>
            <w:noWrap w:val="0"/>
            <w:vAlign w:val="center"/>
          </w:tcPr>
          <w:p w14:paraId="6E91DA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信号输出线</w:t>
            </w:r>
          </w:p>
        </w:tc>
        <w:tc>
          <w:tcPr>
            <w:tcW w:w="802" w:type="dxa"/>
            <w:noWrap w:val="0"/>
            <w:vAlign w:val="center"/>
          </w:tcPr>
          <w:p w14:paraId="6CA60C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根</w:t>
            </w:r>
          </w:p>
        </w:tc>
        <w:tc>
          <w:tcPr>
            <w:tcW w:w="787" w:type="dxa"/>
            <w:noWrap w:val="0"/>
            <w:vAlign w:val="center"/>
          </w:tcPr>
          <w:p w14:paraId="63D717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7E68CA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航空插头/红黑夹子</w:t>
            </w:r>
          </w:p>
        </w:tc>
      </w:tr>
      <w:tr w14:paraId="62AC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1D3ED6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1.4</w:t>
            </w:r>
          </w:p>
        </w:tc>
        <w:tc>
          <w:tcPr>
            <w:tcW w:w="3522" w:type="dxa"/>
            <w:noWrap w:val="0"/>
            <w:vAlign w:val="center"/>
          </w:tcPr>
          <w:p w14:paraId="09A386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信号线</w:t>
            </w:r>
          </w:p>
        </w:tc>
        <w:tc>
          <w:tcPr>
            <w:tcW w:w="802" w:type="dxa"/>
            <w:noWrap w:val="0"/>
            <w:vAlign w:val="center"/>
          </w:tcPr>
          <w:p w14:paraId="22BD41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根</w:t>
            </w:r>
          </w:p>
        </w:tc>
        <w:tc>
          <w:tcPr>
            <w:tcW w:w="787" w:type="dxa"/>
            <w:noWrap w:val="0"/>
            <w:vAlign w:val="center"/>
          </w:tcPr>
          <w:p w14:paraId="692063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547654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冲击闪络法 专用</w:t>
            </w:r>
          </w:p>
        </w:tc>
      </w:tr>
      <w:tr w14:paraId="7E8F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400FB4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1.5</w:t>
            </w:r>
          </w:p>
        </w:tc>
        <w:tc>
          <w:tcPr>
            <w:tcW w:w="3522" w:type="dxa"/>
            <w:noWrap w:val="0"/>
            <w:vAlign w:val="center"/>
          </w:tcPr>
          <w:p w14:paraId="51C02D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电流取样盒</w:t>
            </w:r>
          </w:p>
        </w:tc>
        <w:tc>
          <w:tcPr>
            <w:tcW w:w="802" w:type="dxa"/>
            <w:noWrap w:val="0"/>
            <w:vAlign w:val="center"/>
          </w:tcPr>
          <w:p w14:paraId="7821A9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只</w:t>
            </w:r>
          </w:p>
        </w:tc>
        <w:tc>
          <w:tcPr>
            <w:tcW w:w="787" w:type="dxa"/>
            <w:noWrap w:val="0"/>
            <w:vAlign w:val="center"/>
          </w:tcPr>
          <w:p w14:paraId="6CB4EC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108C1E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冲击闪络法 备用</w:t>
            </w:r>
          </w:p>
        </w:tc>
      </w:tr>
      <w:tr w14:paraId="753EC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shd w:val="clear" w:color="auto" w:fill="D7D7D7"/>
            <w:noWrap w:val="0"/>
            <w:vAlign w:val="center"/>
          </w:tcPr>
          <w:p w14:paraId="22CA07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vertAlign w:val="baseline"/>
                <w:lang w:val="en-US" w:eastAsia="zh-CN"/>
              </w:rPr>
              <w:t>2</w:t>
            </w:r>
          </w:p>
        </w:tc>
        <w:tc>
          <w:tcPr>
            <w:tcW w:w="8267" w:type="dxa"/>
            <w:gridSpan w:val="4"/>
            <w:shd w:val="clear" w:color="auto" w:fill="D7D7D7"/>
            <w:noWrap w:val="0"/>
            <w:vAlign w:val="center"/>
          </w:tcPr>
          <w:p w14:paraId="3C7AEC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FF0000"/>
                <w:sz w:val="24"/>
                <w:szCs w:val="24"/>
                <w:vertAlign w:val="baseline"/>
                <w:lang w:val="en-US" w:eastAsia="zh-CN"/>
              </w:rPr>
              <w:t xml:space="preserve">HNE-4960 </w:t>
            </w:r>
            <w:r>
              <w:rPr>
                <w:rFonts w:hint="eastAsia" w:ascii="宋体" w:hAnsi="宋体" w:eastAsia="宋体" w:cs="宋体"/>
                <w:b w:val="0"/>
                <w:bCs w:val="0"/>
                <w:sz w:val="24"/>
                <w:szCs w:val="24"/>
                <w:vertAlign w:val="baseline"/>
                <w:lang w:val="en-US" w:eastAsia="zh-CN"/>
              </w:rPr>
              <w:t>电缆管线探测仪</w:t>
            </w:r>
          </w:p>
        </w:tc>
      </w:tr>
      <w:tr w14:paraId="6757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30CC92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2.1</w:t>
            </w:r>
          </w:p>
        </w:tc>
        <w:tc>
          <w:tcPr>
            <w:tcW w:w="3522" w:type="dxa"/>
            <w:noWrap w:val="0"/>
            <w:vAlign w:val="center"/>
          </w:tcPr>
          <w:p w14:paraId="14FB4A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color w:val="FF0000"/>
                <w:sz w:val="24"/>
                <w:szCs w:val="24"/>
                <w:lang w:val="en-US" w:eastAsia="zh-CN"/>
              </w:rPr>
              <w:t>HNE-4960A</w:t>
            </w:r>
            <w:r>
              <w:rPr>
                <w:rFonts w:hint="eastAsia" w:ascii="宋体" w:hAnsi="宋体" w:eastAsia="宋体" w:cs="宋体"/>
                <w:sz w:val="24"/>
                <w:szCs w:val="24"/>
                <w:lang w:val="en-US" w:eastAsia="zh-CN"/>
              </w:rPr>
              <w:t xml:space="preserve"> 发射机</w:t>
            </w:r>
          </w:p>
        </w:tc>
        <w:tc>
          <w:tcPr>
            <w:tcW w:w="802" w:type="dxa"/>
            <w:noWrap w:val="0"/>
            <w:vAlign w:val="center"/>
          </w:tcPr>
          <w:p w14:paraId="39E290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eastAsia="zh-CN"/>
              </w:rPr>
              <w:t>台</w:t>
            </w:r>
          </w:p>
        </w:tc>
        <w:tc>
          <w:tcPr>
            <w:tcW w:w="787" w:type="dxa"/>
            <w:noWrap w:val="0"/>
            <w:vAlign w:val="center"/>
          </w:tcPr>
          <w:p w14:paraId="0CB477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val="en-US" w:eastAsia="zh-CN"/>
              </w:rPr>
              <w:t>1</w:t>
            </w:r>
          </w:p>
        </w:tc>
        <w:tc>
          <w:tcPr>
            <w:tcW w:w="3156" w:type="dxa"/>
            <w:noWrap w:val="0"/>
            <w:vAlign w:val="center"/>
          </w:tcPr>
          <w:p w14:paraId="63D44F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标配</w:t>
            </w:r>
          </w:p>
        </w:tc>
      </w:tr>
      <w:tr w14:paraId="1DBA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45387F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2.2</w:t>
            </w:r>
          </w:p>
        </w:tc>
        <w:tc>
          <w:tcPr>
            <w:tcW w:w="3522" w:type="dxa"/>
            <w:noWrap w:val="0"/>
            <w:vAlign w:val="center"/>
          </w:tcPr>
          <w:p w14:paraId="385908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color w:val="FF0000"/>
                <w:sz w:val="24"/>
                <w:szCs w:val="24"/>
                <w:lang w:val="en-US" w:eastAsia="zh-CN"/>
              </w:rPr>
              <w:t xml:space="preserve">HNE-4960B </w:t>
            </w:r>
            <w:r>
              <w:rPr>
                <w:rFonts w:hint="eastAsia" w:ascii="宋体" w:hAnsi="宋体" w:eastAsia="宋体" w:cs="宋体"/>
                <w:sz w:val="24"/>
                <w:szCs w:val="24"/>
                <w:lang w:eastAsia="zh-CN"/>
              </w:rPr>
              <w:t>接收机</w:t>
            </w:r>
          </w:p>
        </w:tc>
        <w:tc>
          <w:tcPr>
            <w:tcW w:w="802" w:type="dxa"/>
            <w:noWrap w:val="0"/>
            <w:vAlign w:val="center"/>
          </w:tcPr>
          <w:p w14:paraId="32EACD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eastAsia="zh-CN"/>
              </w:rPr>
              <w:t>台</w:t>
            </w:r>
          </w:p>
        </w:tc>
        <w:tc>
          <w:tcPr>
            <w:tcW w:w="787" w:type="dxa"/>
            <w:noWrap w:val="0"/>
            <w:vAlign w:val="center"/>
          </w:tcPr>
          <w:p w14:paraId="1B50EA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val="en-US" w:eastAsia="zh-CN"/>
              </w:rPr>
              <w:t>1</w:t>
            </w:r>
          </w:p>
        </w:tc>
        <w:tc>
          <w:tcPr>
            <w:tcW w:w="3156" w:type="dxa"/>
            <w:noWrap w:val="0"/>
            <w:vAlign w:val="center"/>
          </w:tcPr>
          <w:p w14:paraId="499E0B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标配</w:t>
            </w:r>
          </w:p>
        </w:tc>
      </w:tr>
      <w:tr w14:paraId="24DB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07177A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2.3</w:t>
            </w:r>
          </w:p>
        </w:tc>
        <w:tc>
          <w:tcPr>
            <w:tcW w:w="3522" w:type="dxa"/>
            <w:noWrap w:val="0"/>
            <w:vAlign w:val="center"/>
          </w:tcPr>
          <w:p w14:paraId="1B1191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eastAsia="zh-CN"/>
              </w:rPr>
              <w:t>发射</w:t>
            </w:r>
            <w:r>
              <w:rPr>
                <w:rFonts w:hint="eastAsia" w:ascii="宋体" w:hAnsi="宋体" w:eastAsia="宋体" w:cs="宋体"/>
                <w:sz w:val="24"/>
                <w:szCs w:val="24"/>
                <w:lang w:val="en-US" w:eastAsia="zh-CN"/>
              </w:rPr>
              <w:t>耦合夹钳</w:t>
            </w:r>
          </w:p>
        </w:tc>
        <w:tc>
          <w:tcPr>
            <w:tcW w:w="802" w:type="dxa"/>
            <w:noWrap w:val="0"/>
            <w:vAlign w:val="center"/>
          </w:tcPr>
          <w:p w14:paraId="6F70E5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eastAsia="zh-CN"/>
              </w:rPr>
              <w:t>把</w:t>
            </w:r>
          </w:p>
        </w:tc>
        <w:tc>
          <w:tcPr>
            <w:tcW w:w="787" w:type="dxa"/>
            <w:noWrap w:val="0"/>
            <w:vAlign w:val="center"/>
          </w:tcPr>
          <w:p w14:paraId="454A3D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val="en-US" w:eastAsia="zh-CN"/>
              </w:rPr>
              <w:t>1</w:t>
            </w:r>
          </w:p>
        </w:tc>
        <w:tc>
          <w:tcPr>
            <w:tcW w:w="3156" w:type="dxa"/>
            <w:noWrap w:val="0"/>
            <w:vAlign w:val="center"/>
          </w:tcPr>
          <w:p w14:paraId="64D535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标配</w:t>
            </w:r>
          </w:p>
        </w:tc>
      </w:tr>
      <w:tr w14:paraId="4A47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6675AF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2.4</w:t>
            </w:r>
          </w:p>
        </w:tc>
        <w:tc>
          <w:tcPr>
            <w:tcW w:w="3522" w:type="dxa"/>
            <w:noWrap w:val="0"/>
            <w:vAlign w:val="center"/>
          </w:tcPr>
          <w:p w14:paraId="17B13E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A字架(含信号线*1；探针*2)</w:t>
            </w:r>
          </w:p>
        </w:tc>
        <w:tc>
          <w:tcPr>
            <w:tcW w:w="802" w:type="dxa"/>
            <w:noWrap w:val="0"/>
            <w:vAlign w:val="center"/>
          </w:tcPr>
          <w:p w14:paraId="1C2C47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根</w:t>
            </w:r>
          </w:p>
        </w:tc>
        <w:tc>
          <w:tcPr>
            <w:tcW w:w="787" w:type="dxa"/>
            <w:noWrap w:val="0"/>
            <w:vAlign w:val="center"/>
          </w:tcPr>
          <w:p w14:paraId="3CC416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156" w:type="dxa"/>
            <w:noWrap w:val="0"/>
            <w:vAlign w:val="center"/>
          </w:tcPr>
          <w:p w14:paraId="10498F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color w:val="FF0000"/>
                <w:sz w:val="24"/>
                <w:szCs w:val="24"/>
                <w:vertAlign w:val="baseline"/>
                <w:lang w:val="en-US" w:eastAsia="zh-CN"/>
              </w:rPr>
              <w:t>选配：</w:t>
            </w:r>
            <w:r>
              <w:rPr>
                <w:rFonts w:hint="eastAsia" w:ascii="宋体" w:hAnsi="宋体" w:eastAsia="宋体" w:cs="宋体"/>
                <w:b w:val="0"/>
                <w:bCs w:val="0"/>
                <w:sz w:val="24"/>
                <w:szCs w:val="24"/>
                <w:vertAlign w:val="baseline"/>
                <w:lang w:val="en-US" w:eastAsia="zh-CN"/>
              </w:rPr>
              <w:t>是</w:t>
            </w:r>
            <w:r>
              <w:rPr>
                <w:rFonts w:hint="eastAsia" w:ascii="宋体" w:hAnsi="宋体" w:eastAsia="宋体" w:cs="宋体"/>
                <w:b w:val="0"/>
                <w:bCs w:val="0"/>
                <w:sz w:val="24"/>
                <w:szCs w:val="24"/>
                <w:vertAlign w:val="baseline"/>
                <w:lang w:val="en-US" w:eastAsia="zh-CN"/>
              </w:rPr>
              <w:sym w:font="Wingdings 2" w:char="0052"/>
            </w:r>
            <w:r>
              <w:rPr>
                <w:rFonts w:hint="eastAsia" w:ascii="宋体" w:hAnsi="宋体" w:eastAsia="宋体" w:cs="宋体"/>
                <w:b w:val="0"/>
                <w:bCs w:val="0"/>
                <w:sz w:val="24"/>
                <w:szCs w:val="24"/>
                <w:vertAlign w:val="baseline"/>
                <w:lang w:val="en-US" w:eastAsia="zh-CN"/>
              </w:rPr>
              <w:t>/否</w:t>
            </w:r>
            <w:r>
              <w:rPr>
                <w:rFonts w:hint="eastAsia" w:ascii="宋体" w:hAnsi="宋体" w:eastAsia="宋体" w:cs="宋体"/>
                <w:b w:val="0"/>
                <w:bCs w:val="0"/>
                <w:sz w:val="24"/>
                <w:szCs w:val="24"/>
                <w:vertAlign w:val="baseline"/>
                <w:lang w:val="en-US" w:eastAsia="zh-CN"/>
              </w:rPr>
              <w:sym w:font="Wingdings 2" w:char="00A3"/>
            </w:r>
          </w:p>
        </w:tc>
      </w:tr>
      <w:tr w14:paraId="6DF0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0E41CF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2.5</w:t>
            </w:r>
          </w:p>
        </w:tc>
        <w:tc>
          <w:tcPr>
            <w:tcW w:w="3522" w:type="dxa"/>
            <w:noWrap w:val="0"/>
            <w:vAlign w:val="center"/>
          </w:tcPr>
          <w:p w14:paraId="3452D3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eastAsia="zh-CN"/>
              </w:rPr>
              <w:t>充电器</w:t>
            </w:r>
          </w:p>
        </w:tc>
        <w:tc>
          <w:tcPr>
            <w:tcW w:w="802" w:type="dxa"/>
            <w:noWrap w:val="0"/>
            <w:vAlign w:val="center"/>
          </w:tcPr>
          <w:p w14:paraId="326801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eastAsia="zh-CN"/>
              </w:rPr>
              <w:t>只</w:t>
            </w:r>
          </w:p>
        </w:tc>
        <w:tc>
          <w:tcPr>
            <w:tcW w:w="787" w:type="dxa"/>
            <w:noWrap w:val="0"/>
            <w:vAlign w:val="center"/>
          </w:tcPr>
          <w:p w14:paraId="0AC43D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val="en-US" w:eastAsia="zh-CN"/>
              </w:rPr>
              <w:t>2</w:t>
            </w:r>
          </w:p>
        </w:tc>
        <w:tc>
          <w:tcPr>
            <w:tcW w:w="3156" w:type="dxa"/>
            <w:noWrap w:val="0"/>
            <w:vAlign w:val="center"/>
          </w:tcPr>
          <w:p w14:paraId="362D16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5.0V/2000mA</w:t>
            </w:r>
          </w:p>
        </w:tc>
      </w:tr>
      <w:tr w14:paraId="174F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5F12A3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val="0"/>
                <w:bCs w:val="0"/>
                <w:sz w:val="24"/>
                <w:szCs w:val="24"/>
                <w:lang w:val="en-US" w:eastAsia="zh-CN"/>
              </w:rPr>
              <w:t>2.6</w:t>
            </w:r>
          </w:p>
        </w:tc>
        <w:tc>
          <w:tcPr>
            <w:tcW w:w="3522" w:type="dxa"/>
            <w:noWrap w:val="0"/>
            <w:vAlign w:val="center"/>
          </w:tcPr>
          <w:p w14:paraId="6308B1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sz w:val="24"/>
                <w:szCs w:val="24"/>
                <w:lang w:bidi="ar"/>
              </w:rPr>
              <w:t>直连测试线</w:t>
            </w:r>
          </w:p>
        </w:tc>
        <w:tc>
          <w:tcPr>
            <w:tcW w:w="802" w:type="dxa"/>
            <w:noWrap w:val="0"/>
            <w:vAlign w:val="center"/>
          </w:tcPr>
          <w:p w14:paraId="692634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组</w:t>
            </w:r>
          </w:p>
        </w:tc>
        <w:tc>
          <w:tcPr>
            <w:tcW w:w="787" w:type="dxa"/>
            <w:noWrap w:val="0"/>
            <w:vAlign w:val="center"/>
          </w:tcPr>
          <w:p w14:paraId="30C5D8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p>
        </w:tc>
        <w:tc>
          <w:tcPr>
            <w:tcW w:w="3156" w:type="dxa"/>
            <w:noWrap w:val="0"/>
            <w:vAlign w:val="center"/>
          </w:tcPr>
          <w:p w14:paraId="6142DF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航空插头/红黑夹子</w:t>
            </w:r>
          </w:p>
        </w:tc>
      </w:tr>
      <w:tr w14:paraId="369C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5AB771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vertAlign w:val="baseline"/>
                <w:lang w:val="en-US" w:eastAsia="zh-CN"/>
              </w:rPr>
              <w:t>2.7</w:t>
            </w:r>
          </w:p>
        </w:tc>
        <w:tc>
          <w:tcPr>
            <w:tcW w:w="3522" w:type="dxa"/>
            <w:noWrap w:val="0"/>
            <w:vAlign w:val="center"/>
          </w:tcPr>
          <w:p w14:paraId="376423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val="en-US" w:eastAsia="zh-CN"/>
              </w:rPr>
              <w:t>短接</w:t>
            </w:r>
            <w:r>
              <w:rPr>
                <w:rFonts w:hint="eastAsia" w:ascii="宋体" w:hAnsi="宋体" w:eastAsia="宋体" w:cs="宋体"/>
                <w:sz w:val="24"/>
                <w:szCs w:val="24"/>
              </w:rPr>
              <w:t>线</w:t>
            </w:r>
          </w:p>
        </w:tc>
        <w:tc>
          <w:tcPr>
            <w:tcW w:w="802" w:type="dxa"/>
            <w:noWrap w:val="0"/>
            <w:vAlign w:val="center"/>
          </w:tcPr>
          <w:p w14:paraId="13BC71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eastAsia="zh-CN"/>
              </w:rPr>
              <w:t>根</w:t>
            </w:r>
          </w:p>
        </w:tc>
        <w:tc>
          <w:tcPr>
            <w:tcW w:w="787" w:type="dxa"/>
            <w:noWrap w:val="0"/>
            <w:vAlign w:val="center"/>
          </w:tcPr>
          <w:p w14:paraId="25CD3C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val="en-US" w:eastAsia="zh-CN"/>
              </w:rPr>
              <w:t>1</w:t>
            </w:r>
          </w:p>
        </w:tc>
        <w:tc>
          <w:tcPr>
            <w:tcW w:w="3156" w:type="dxa"/>
            <w:noWrap w:val="0"/>
            <w:vAlign w:val="center"/>
          </w:tcPr>
          <w:p w14:paraId="5BA912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eastAsia="zh-CN"/>
              </w:rPr>
              <w:t>双夹子</w:t>
            </w:r>
          </w:p>
        </w:tc>
      </w:tr>
      <w:tr w14:paraId="5C7D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1D3B5E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vertAlign w:val="baseline"/>
                <w:lang w:val="en-US" w:eastAsia="zh-CN"/>
              </w:rPr>
              <w:t>2.8</w:t>
            </w:r>
          </w:p>
        </w:tc>
        <w:tc>
          <w:tcPr>
            <w:tcW w:w="3522" w:type="dxa"/>
            <w:noWrap w:val="0"/>
            <w:vAlign w:val="center"/>
          </w:tcPr>
          <w:p w14:paraId="0E85F8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eastAsia="zh-CN"/>
              </w:rPr>
              <w:t>地钎</w:t>
            </w:r>
          </w:p>
        </w:tc>
        <w:tc>
          <w:tcPr>
            <w:tcW w:w="802" w:type="dxa"/>
            <w:noWrap w:val="0"/>
            <w:vAlign w:val="center"/>
          </w:tcPr>
          <w:p w14:paraId="16FE2C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val="en-US" w:eastAsia="zh-CN" w:bidi="ar"/>
              </w:rPr>
              <w:t>支</w:t>
            </w:r>
          </w:p>
        </w:tc>
        <w:tc>
          <w:tcPr>
            <w:tcW w:w="787" w:type="dxa"/>
            <w:noWrap w:val="0"/>
            <w:vAlign w:val="center"/>
          </w:tcPr>
          <w:p w14:paraId="77D6AA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val="en-US" w:eastAsia="zh-CN"/>
              </w:rPr>
              <w:t>1</w:t>
            </w:r>
          </w:p>
        </w:tc>
        <w:tc>
          <w:tcPr>
            <w:tcW w:w="3156" w:type="dxa"/>
            <w:noWrap w:val="0"/>
            <w:vAlign w:val="center"/>
          </w:tcPr>
          <w:p w14:paraId="57D05F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lang w:val="en-US" w:eastAsia="zh-CN"/>
              </w:rPr>
              <w:t>L型</w:t>
            </w:r>
          </w:p>
        </w:tc>
      </w:tr>
      <w:tr w14:paraId="6FAA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42E565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2.9</w:t>
            </w:r>
          </w:p>
        </w:tc>
        <w:tc>
          <w:tcPr>
            <w:tcW w:w="3522" w:type="dxa"/>
            <w:noWrap w:val="0"/>
            <w:vAlign w:val="center"/>
          </w:tcPr>
          <w:p w14:paraId="7D0ECC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eastAsia="zh-CN"/>
              </w:rPr>
              <w:t>包装箱</w:t>
            </w:r>
          </w:p>
        </w:tc>
        <w:tc>
          <w:tcPr>
            <w:tcW w:w="802" w:type="dxa"/>
            <w:noWrap w:val="0"/>
            <w:vAlign w:val="center"/>
          </w:tcPr>
          <w:p w14:paraId="2517ED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eastAsia="zh-CN"/>
              </w:rPr>
              <w:t>只</w:t>
            </w:r>
          </w:p>
        </w:tc>
        <w:tc>
          <w:tcPr>
            <w:tcW w:w="787" w:type="dxa"/>
            <w:noWrap w:val="0"/>
            <w:vAlign w:val="center"/>
          </w:tcPr>
          <w:p w14:paraId="275C0C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p>
        </w:tc>
        <w:tc>
          <w:tcPr>
            <w:tcW w:w="3156" w:type="dxa"/>
            <w:noWrap w:val="0"/>
            <w:vAlign w:val="center"/>
          </w:tcPr>
          <w:p w14:paraId="4F4351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w:t>
            </w:r>
          </w:p>
        </w:tc>
      </w:tr>
      <w:tr w14:paraId="1870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shd w:val="clear" w:color="auto" w:fill="D7D7D7"/>
            <w:noWrap w:val="0"/>
            <w:vAlign w:val="center"/>
          </w:tcPr>
          <w:p w14:paraId="1D997B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8267" w:type="dxa"/>
            <w:gridSpan w:val="4"/>
            <w:shd w:val="clear" w:color="auto" w:fill="D7D7D7"/>
            <w:noWrap w:val="0"/>
            <w:vAlign w:val="center"/>
          </w:tcPr>
          <w:p w14:paraId="0D1380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color w:val="FF0000"/>
                <w:kern w:val="0"/>
                <w:sz w:val="24"/>
                <w:szCs w:val="24"/>
                <w:lang w:eastAsia="zh-CN"/>
              </w:rPr>
              <w:t xml:space="preserve">HNE-02 </w:t>
            </w:r>
            <w:r>
              <w:rPr>
                <w:rFonts w:hint="eastAsia" w:ascii="宋体" w:hAnsi="宋体" w:eastAsia="宋体" w:cs="宋体"/>
                <w:b w:val="0"/>
                <w:bCs w:val="0"/>
                <w:sz w:val="24"/>
                <w:szCs w:val="24"/>
                <w:lang w:val="en-US" w:eastAsia="zh-CN"/>
              </w:rPr>
              <w:t>电缆故障</w:t>
            </w:r>
            <w:r>
              <w:rPr>
                <w:rFonts w:hint="eastAsia" w:ascii="宋体" w:hAnsi="宋体" w:eastAsia="宋体" w:cs="宋体"/>
                <w:b w:val="0"/>
                <w:bCs w:val="0"/>
                <w:sz w:val="24"/>
                <w:szCs w:val="24"/>
              </w:rPr>
              <w:t>定</w:t>
            </w:r>
            <w:r>
              <w:rPr>
                <w:rFonts w:hint="eastAsia" w:ascii="宋体" w:hAnsi="宋体" w:eastAsia="宋体" w:cs="宋体"/>
                <w:b w:val="0"/>
                <w:bCs w:val="0"/>
                <w:sz w:val="24"/>
                <w:szCs w:val="24"/>
                <w:lang w:val="en-US" w:eastAsia="zh-CN"/>
              </w:rPr>
              <w:t>点</w:t>
            </w:r>
            <w:r>
              <w:rPr>
                <w:rFonts w:hint="eastAsia" w:ascii="宋体" w:hAnsi="宋体" w:eastAsia="宋体" w:cs="宋体"/>
                <w:b w:val="0"/>
                <w:bCs w:val="0"/>
                <w:sz w:val="24"/>
                <w:szCs w:val="24"/>
              </w:rPr>
              <w:t>仪</w:t>
            </w:r>
          </w:p>
        </w:tc>
      </w:tr>
      <w:tr w14:paraId="7122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69AEB1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3.1</w:t>
            </w:r>
          </w:p>
        </w:tc>
        <w:tc>
          <w:tcPr>
            <w:tcW w:w="3522" w:type="dxa"/>
            <w:noWrap w:val="0"/>
            <w:vAlign w:val="center"/>
          </w:tcPr>
          <w:p w14:paraId="26A2B5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lang w:val="en-US" w:eastAsia="zh-CN"/>
              </w:rPr>
              <w:t>电缆故障定点仪</w:t>
            </w:r>
          </w:p>
        </w:tc>
        <w:tc>
          <w:tcPr>
            <w:tcW w:w="802" w:type="dxa"/>
            <w:noWrap w:val="0"/>
            <w:vAlign w:val="center"/>
          </w:tcPr>
          <w:p w14:paraId="2A797F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台</w:t>
            </w:r>
          </w:p>
        </w:tc>
        <w:tc>
          <w:tcPr>
            <w:tcW w:w="787" w:type="dxa"/>
            <w:noWrap w:val="0"/>
            <w:vAlign w:val="center"/>
          </w:tcPr>
          <w:p w14:paraId="013DDB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4388C3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工控防护箱</w:t>
            </w:r>
          </w:p>
        </w:tc>
      </w:tr>
      <w:tr w14:paraId="3945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55295E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3.2</w:t>
            </w:r>
          </w:p>
        </w:tc>
        <w:tc>
          <w:tcPr>
            <w:tcW w:w="3522" w:type="dxa"/>
            <w:noWrap w:val="0"/>
            <w:vAlign w:val="center"/>
          </w:tcPr>
          <w:p w14:paraId="7C79C1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拾音传感器探头</w:t>
            </w:r>
          </w:p>
        </w:tc>
        <w:tc>
          <w:tcPr>
            <w:tcW w:w="802" w:type="dxa"/>
            <w:noWrap w:val="0"/>
            <w:vAlign w:val="center"/>
          </w:tcPr>
          <w:p w14:paraId="142951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套</w:t>
            </w:r>
          </w:p>
        </w:tc>
        <w:tc>
          <w:tcPr>
            <w:tcW w:w="787" w:type="dxa"/>
            <w:noWrap w:val="0"/>
            <w:vAlign w:val="center"/>
          </w:tcPr>
          <w:p w14:paraId="06AC73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0A1A7D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包含提把、探头、探针</w:t>
            </w:r>
          </w:p>
        </w:tc>
      </w:tr>
      <w:tr w14:paraId="7189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0B81BE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3.3</w:t>
            </w:r>
          </w:p>
        </w:tc>
        <w:tc>
          <w:tcPr>
            <w:tcW w:w="3522" w:type="dxa"/>
            <w:noWrap w:val="0"/>
            <w:vAlign w:val="center"/>
          </w:tcPr>
          <w:p w14:paraId="6B3731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监听耳机</w:t>
            </w:r>
          </w:p>
        </w:tc>
        <w:tc>
          <w:tcPr>
            <w:tcW w:w="802" w:type="dxa"/>
            <w:noWrap w:val="0"/>
            <w:vAlign w:val="center"/>
          </w:tcPr>
          <w:p w14:paraId="1AC9B7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副</w:t>
            </w:r>
          </w:p>
        </w:tc>
        <w:tc>
          <w:tcPr>
            <w:tcW w:w="787" w:type="dxa"/>
            <w:noWrap w:val="0"/>
            <w:vAlign w:val="center"/>
          </w:tcPr>
          <w:p w14:paraId="126061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05FB70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定点仪 专用</w:t>
            </w:r>
          </w:p>
        </w:tc>
      </w:tr>
      <w:tr w14:paraId="3AE4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0" w:type="dxa"/>
            <w:noWrap w:val="0"/>
            <w:vAlign w:val="center"/>
          </w:tcPr>
          <w:p w14:paraId="396C04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kern w:val="2"/>
                <w:sz w:val="24"/>
                <w:szCs w:val="24"/>
                <w:vertAlign w:val="baseline"/>
                <w:lang w:val="en-US" w:eastAsia="zh-CN" w:bidi="ar-SA"/>
              </w:rPr>
              <w:t>3.4</w:t>
            </w:r>
          </w:p>
        </w:tc>
        <w:tc>
          <w:tcPr>
            <w:tcW w:w="3522" w:type="dxa"/>
            <w:noWrap w:val="0"/>
            <w:vAlign w:val="center"/>
          </w:tcPr>
          <w:p w14:paraId="64697F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拾音信号线</w:t>
            </w:r>
          </w:p>
        </w:tc>
        <w:tc>
          <w:tcPr>
            <w:tcW w:w="802" w:type="dxa"/>
            <w:noWrap w:val="0"/>
            <w:vAlign w:val="center"/>
          </w:tcPr>
          <w:p w14:paraId="406F13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根</w:t>
            </w:r>
          </w:p>
        </w:tc>
        <w:tc>
          <w:tcPr>
            <w:tcW w:w="787" w:type="dxa"/>
            <w:noWrap w:val="0"/>
            <w:vAlign w:val="center"/>
          </w:tcPr>
          <w:p w14:paraId="25329D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28080B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（双四芯航空头线）</w:t>
            </w:r>
          </w:p>
          <w:p w14:paraId="4F1F5D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定点仪 专用</w:t>
            </w:r>
          </w:p>
        </w:tc>
      </w:tr>
      <w:tr w14:paraId="4379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213F7E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3.5</w:t>
            </w:r>
          </w:p>
        </w:tc>
        <w:tc>
          <w:tcPr>
            <w:tcW w:w="3522" w:type="dxa"/>
            <w:noWrap w:val="0"/>
            <w:vAlign w:val="center"/>
          </w:tcPr>
          <w:p w14:paraId="305522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背带</w:t>
            </w:r>
          </w:p>
        </w:tc>
        <w:tc>
          <w:tcPr>
            <w:tcW w:w="802" w:type="dxa"/>
            <w:noWrap w:val="0"/>
            <w:vAlign w:val="center"/>
          </w:tcPr>
          <w:p w14:paraId="6E2889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根</w:t>
            </w:r>
          </w:p>
        </w:tc>
        <w:tc>
          <w:tcPr>
            <w:tcW w:w="787" w:type="dxa"/>
            <w:noWrap w:val="0"/>
            <w:vAlign w:val="center"/>
          </w:tcPr>
          <w:p w14:paraId="01E7CE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61779C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w:t>
            </w:r>
          </w:p>
        </w:tc>
      </w:tr>
      <w:tr w14:paraId="47B0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53B7F2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lang w:val="en-US" w:eastAsia="zh-CN"/>
              </w:rPr>
              <w:t>3.6</w:t>
            </w:r>
          </w:p>
        </w:tc>
        <w:tc>
          <w:tcPr>
            <w:tcW w:w="3522" w:type="dxa"/>
            <w:noWrap w:val="0"/>
            <w:vAlign w:val="center"/>
          </w:tcPr>
          <w:p w14:paraId="51F8DC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充电器</w:t>
            </w:r>
          </w:p>
        </w:tc>
        <w:tc>
          <w:tcPr>
            <w:tcW w:w="802" w:type="dxa"/>
            <w:noWrap w:val="0"/>
            <w:vAlign w:val="center"/>
          </w:tcPr>
          <w:p w14:paraId="1676A5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只</w:t>
            </w:r>
          </w:p>
        </w:tc>
        <w:tc>
          <w:tcPr>
            <w:tcW w:w="787" w:type="dxa"/>
            <w:noWrap w:val="0"/>
            <w:vAlign w:val="center"/>
          </w:tcPr>
          <w:p w14:paraId="7C13A5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6B0EB7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8.4V/1000mA</w:t>
            </w:r>
          </w:p>
        </w:tc>
      </w:tr>
      <w:tr w14:paraId="5A5E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shd w:val="clear" w:color="auto" w:fill="D7D7D7"/>
            <w:noWrap w:val="0"/>
            <w:vAlign w:val="center"/>
          </w:tcPr>
          <w:p w14:paraId="30B972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vertAlign w:val="baseline"/>
                <w:lang w:val="en-US" w:eastAsia="zh-CN"/>
              </w:rPr>
              <w:t>4</w:t>
            </w:r>
          </w:p>
        </w:tc>
        <w:tc>
          <w:tcPr>
            <w:tcW w:w="8267" w:type="dxa"/>
            <w:gridSpan w:val="4"/>
            <w:shd w:val="clear" w:color="auto" w:fill="D7D7D7"/>
            <w:noWrap w:val="0"/>
            <w:vAlign w:val="center"/>
          </w:tcPr>
          <w:p w14:paraId="2EBD533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color w:val="FF0000"/>
                <w:sz w:val="24"/>
                <w:szCs w:val="24"/>
                <w:vertAlign w:val="baseline"/>
                <w:lang w:val="en-US" w:eastAsia="zh-CN"/>
              </w:rPr>
              <w:t xml:space="preserve">HNE-35kV </w:t>
            </w:r>
            <w:r>
              <w:rPr>
                <w:rFonts w:hint="eastAsia" w:ascii="宋体" w:hAnsi="宋体" w:eastAsia="宋体" w:cs="宋体"/>
                <w:b w:val="0"/>
                <w:bCs w:val="0"/>
                <w:sz w:val="24"/>
                <w:szCs w:val="24"/>
                <w:vertAlign w:val="baseline"/>
                <w:lang w:val="en-US" w:eastAsia="zh-CN"/>
              </w:rPr>
              <w:t>高压发生器</w:t>
            </w:r>
          </w:p>
        </w:tc>
      </w:tr>
      <w:tr w14:paraId="6ABD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790D8E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b w:val="0"/>
                <w:bCs w:val="0"/>
                <w:sz w:val="24"/>
                <w:szCs w:val="24"/>
                <w:vertAlign w:val="baseline"/>
                <w:lang w:val="en-US" w:eastAsia="zh-CN"/>
              </w:rPr>
              <w:t>4.1</w:t>
            </w:r>
          </w:p>
        </w:tc>
        <w:tc>
          <w:tcPr>
            <w:tcW w:w="3522" w:type="dxa"/>
            <w:noWrap w:val="0"/>
            <w:vAlign w:val="center"/>
          </w:tcPr>
          <w:p w14:paraId="1F1BE27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高压发生器</w:t>
            </w:r>
          </w:p>
        </w:tc>
        <w:tc>
          <w:tcPr>
            <w:tcW w:w="802" w:type="dxa"/>
            <w:noWrap w:val="0"/>
            <w:vAlign w:val="center"/>
          </w:tcPr>
          <w:p w14:paraId="245BED1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台</w:t>
            </w:r>
          </w:p>
        </w:tc>
        <w:tc>
          <w:tcPr>
            <w:tcW w:w="787" w:type="dxa"/>
            <w:noWrap w:val="0"/>
            <w:vAlign w:val="center"/>
          </w:tcPr>
          <w:p w14:paraId="45C9158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69FFAC7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工控防护箱</w:t>
            </w:r>
          </w:p>
        </w:tc>
      </w:tr>
      <w:tr w14:paraId="1B26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602392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b w:val="0"/>
                <w:bCs w:val="0"/>
                <w:sz w:val="24"/>
                <w:szCs w:val="24"/>
                <w:vertAlign w:val="baseline"/>
                <w:lang w:val="en-US" w:eastAsia="zh-CN"/>
              </w:rPr>
              <w:t>4.2</w:t>
            </w:r>
          </w:p>
        </w:tc>
        <w:tc>
          <w:tcPr>
            <w:tcW w:w="3522" w:type="dxa"/>
            <w:noWrap w:val="0"/>
            <w:vAlign w:val="center"/>
          </w:tcPr>
          <w:p w14:paraId="22F2FDB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AC220V电源线</w:t>
            </w:r>
          </w:p>
        </w:tc>
        <w:tc>
          <w:tcPr>
            <w:tcW w:w="802" w:type="dxa"/>
            <w:noWrap w:val="0"/>
            <w:vAlign w:val="center"/>
          </w:tcPr>
          <w:p w14:paraId="022AB55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根</w:t>
            </w:r>
          </w:p>
        </w:tc>
        <w:tc>
          <w:tcPr>
            <w:tcW w:w="787" w:type="dxa"/>
            <w:noWrap w:val="0"/>
            <w:vAlign w:val="center"/>
          </w:tcPr>
          <w:p w14:paraId="0323EF4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796F5EB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标准</w:t>
            </w:r>
          </w:p>
        </w:tc>
      </w:tr>
      <w:tr w14:paraId="24737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399712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b w:val="0"/>
                <w:bCs w:val="0"/>
                <w:sz w:val="24"/>
                <w:szCs w:val="24"/>
                <w:vertAlign w:val="baseline"/>
                <w:lang w:val="en-US" w:eastAsia="zh-CN"/>
              </w:rPr>
              <w:t>4.3</w:t>
            </w:r>
          </w:p>
        </w:tc>
        <w:tc>
          <w:tcPr>
            <w:tcW w:w="3522" w:type="dxa"/>
            <w:noWrap w:val="0"/>
            <w:vAlign w:val="center"/>
          </w:tcPr>
          <w:p w14:paraId="1822A67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高压连接线</w:t>
            </w:r>
          </w:p>
        </w:tc>
        <w:tc>
          <w:tcPr>
            <w:tcW w:w="802" w:type="dxa"/>
            <w:noWrap w:val="0"/>
            <w:vAlign w:val="center"/>
          </w:tcPr>
          <w:p w14:paraId="64FA527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根</w:t>
            </w:r>
          </w:p>
        </w:tc>
        <w:tc>
          <w:tcPr>
            <w:tcW w:w="787" w:type="dxa"/>
            <w:noWrap w:val="0"/>
            <w:vAlign w:val="center"/>
          </w:tcPr>
          <w:p w14:paraId="49A464C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25D5FA1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插头/夹子</w:t>
            </w:r>
          </w:p>
        </w:tc>
      </w:tr>
      <w:tr w14:paraId="078A2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0" w:type="dxa"/>
            <w:noWrap w:val="0"/>
            <w:vAlign w:val="center"/>
          </w:tcPr>
          <w:p w14:paraId="342274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b w:val="0"/>
                <w:bCs w:val="0"/>
                <w:kern w:val="2"/>
                <w:sz w:val="24"/>
                <w:szCs w:val="24"/>
                <w:vertAlign w:val="baseline"/>
                <w:lang w:val="en-US" w:eastAsia="zh-CN" w:bidi="ar-SA"/>
              </w:rPr>
              <w:t>4.4</w:t>
            </w:r>
          </w:p>
        </w:tc>
        <w:tc>
          <w:tcPr>
            <w:tcW w:w="3522" w:type="dxa"/>
            <w:noWrap w:val="0"/>
            <w:vAlign w:val="center"/>
          </w:tcPr>
          <w:p w14:paraId="43D0CA9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kern w:val="2"/>
                <w:sz w:val="24"/>
                <w:szCs w:val="24"/>
                <w:vertAlign w:val="baseline"/>
                <w:lang w:val="en-US" w:eastAsia="zh-CN" w:bidi="ar-SA"/>
              </w:rPr>
              <w:t>接地线</w:t>
            </w:r>
          </w:p>
        </w:tc>
        <w:tc>
          <w:tcPr>
            <w:tcW w:w="802" w:type="dxa"/>
            <w:noWrap w:val="0"/>
            <w:vAlign w:val="center"/>
          </w:tcPr>
          <w:p w14:paraId="6E9A121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kern w:val="2"/>
                <w:sz w:val="24"/>
                <w:szCs w:val="24"/>
                <w:vertAlign w:val="baseline"/>
                <w:lang w:val="en-US" w:eastAsia="zh-CN" w:bidi="ar-SA"/>
              </w:rPr>
              <w:t>根</w:t>
            </w:r>
          </w:p>
        </w:tc>
        <w:tc>
          <w:tcPr>
            <w:tcW w:w="787" w:type="dxa"/>
            <w:noWrap w:val="0"/>
            <w:vAlign w:val="center"/>
          </w:tcPr>
          <w:p w14:paraId="65F648B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kern w:val="2"/>
                <w:sz w:val="24"/>
                <w:szCs w:val="24"/>
                <w:vertAlign w:val="baseline"/>
                <w:lang w:val="en-US" w:eastAsia="zh-CN" w:bidi="ar-SA"/>
              </w:rPr>
              <w:t>1</w:t>
            </w:r>
          </w:p>
        </w:tc>
        <w:tc>
          <w:tcPr>
            <w:tcW w:w="3156" w:type="dxa"/>
            <w:noWrap w:val="0"/>
            <w:vAlign w:val="center"/>
          </w:tcPr>
          <w:p w14:paraId="2BFF02B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保护接地 专用</w:t>
            </w:r>
          </w:p>
          <w:p w14:paraId="47C508D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kern w:val="2"/>
                <w:sz w:val="24"/>
                <w:szCs w:val="24"/>
                <w:lang w:val="en-US" w:eastAsia="zh-CN" w:bidi="ar-SA"/>
              </w:rPr>
              <w:t>U型插片/夹子</w:t>
            </w:r>
          </w:p>
        </w:tc>
      </w:tr>
      <w:tr w14:paraId="1B63F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0" w:type="dxa"/>
            <w:noWrap w:val="0"/>
            <w:vAlign w:val="center"/>
          </w:tcPr>
          <w:p w14:paraId="020216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b w:val="0"/>
                <w:bCs w:val="0"/>
                <w:sz w:val="24"/>
                <w:szCs w:val="24"/>
                <w:vertAlign w:val="baseline"/>
                <w:lang w:val="en-US" w:eastAsia="zh-CN"/>
              </w:rPr>
              <w:t>4.5</w:t>
            </w:r>
          </w:p>
        </w:tc>
        <w:tc>
          <w:tcPr>
            <w:tcW w:w="3522" w:type="dxa"/>
            <w:noWrap w:val="0"/>
            <w:vAlign w:val="center"/>
          </w:tcPr>
          <w:p w14:paraId="6444135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组合接地线</w:t>
            </w:r>
          </w:p>
        </w:tc>
        <w:tc>
          <w:tcPr>
            <w:tcW w:w="802" w:type="dxa"/>
            <w:noWrap w:val="0"/>
            <w:vAlign w:val="center"/>
          </w:tcPr>
          <w:p w14:paraId="4116085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套</w:t>
            </w:r>
          </w:p>
        </w:tc>
        <w:tc>
          <w:tcPr>
            <w:tcW w:w="787" w:type="dxa"/>
            <w:noWrap w:val="0"/>
            <w:vAlign w:val="center"/>
          </w:tcPr>
          <w:p w14:paraId="376A9DA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7B3EABB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工作接地 专用</w:t>
            </w:r>
          </w:p>
          <w:p w14:paraId="1C94613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lang w:val="en-US" w:eastAsia="zh-CN"/>
              </w:rPr>
              <w:t>1分3(1插头2夹子)</w:t>
            </w:r>
          </w:p>
        </w:tc>
      </w:tr>
      <w:tr w14:paraId="5454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noWrap w:val="0"/>
            <w:vAlign w:val="center"/>
          </w:tcPr>
          <w:p w14:paraId="0AA07B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b w:val="0"/>
                <w:bCs w:val="0"/>
                <w:sz w:val="24"/>
                <w:szCs w:val="24"/>
                <w:lang w:val="en-US" w:eastAsia="zh-CN"/>
              </w:rPr>
              <w:t>4.6</w:t>
            </w:r>
          </w:p>
        </w:tc>
        <w:tc>
          <w:tcPr>
            <w:tcW w:w="3522" w:type="dxa"/>
            <w:noWrap w:val="0"/>
            <w:vAlign w:val="center"/>
          </w:tcPr>
          <w:p w14:paraId="343BAA1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放电棒</w:t>
            </w:r>
          </w:p>
        </w:tc>
        <w:tc>
          <w:tcPr>
            <w:tcW w:w="802" w:type="dxa"/>
            <w:noWrap w:val="0"/>
            <w:vAlign w:val="center"/>
          </w:tcPr>
          <w:p w14:paraId="38742BD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根</w:t>
            </w:r>
          </w:p>
        </w:tc>
        <w:tc>
          <w:tcPr>
            <w:tcW w:w="787" w:type="dxa"/>
            <w:noWrap w:val="0"/>
            <w:vAlign w:val="center"/>
          </w:tcPr>
          <w:p w14:paraId="2D884F3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1ED21A8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lang w:val="en-US" w:eastAsia="zh-CN"/>
              </w:rPr>
              <w:t>用于35kV以下</w:t>
            </w:r>
          </w:p>
        </w:tc>
      </w:tr>
      <w:tr w14:paraId="21F1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70" w:type="dxa"/>
            <w:noWrap w:val="0"/>
            <w:vAlign w:val="center"/>
          </w:tcPr>
          <w:p w14:paraId="33C561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b w:val="0"/>
                <w:bCs w:val="0"/>
                <w:sz w:val="24"/>
                <w:szCs w:val="24"/>
                <w:vertAlign w:val="baseline"/>
                <w:lang w:val="en-US" w:eastAsia="zh-CN"/>
              </w:rPr>
              <w:t>4.7</w:t>
            </w:r>
          </w:p>
        </w:tc>
        <w:tc>
          <w:tcPr>
            <w:tcW w:w="3522" w:type="dxa"/>
            <w:noWrap w:val="0"/>
            <w:vAlign w:val="center"/>
          </w:tcPr>
          <w:p w14:paraId="15C208C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kern w:val="2"/>
                <w:sz w:val="24"/>
                <w:szCs w:val="24"/>
                <w:vertAlign w:val="baseline"/>
                <w:lang w:val="en-US" w:eastAsia="zh-CN" w:bidi="ar-SA"/>
              </w:rPr>
              <w:t>地钎</w:t>
            </w:r>
          </w:p>
        </w:tc>
        <w:tc>
          <w:tcPr>
            <w:tcW w:w="802" w:type="dxa"/>
            <w:noWrap w:val="0"/>
            <w:vAlign w:val="center"/>
          </w:tcPr>
          <w:p w14:paraId="0871A55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根</w:t>
            </w:r>
          </w:p>
        </w:tc>
        <w:tc>
          <w:tcPr>
            <w:tcW w:w="787" w:type="dxa"/>
            <w:noWrap w:val="0"/>
            <w:vAlign w:val="center"/>
          </w:tcPr>
          <w:p w14:paraId="62C765A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3156" w:type="dxa"/>
            <w:noWrap w:val="0"/>
            <w:vAlign w:val="center"/>
          </w:tcPr>
          <w:p w14:paraId="3542323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T型</w:t>
            </w:r>
          </w:p>
        </w:tc>
      </w:tr>
    </w:tbl>
    <w:p w14:paraId="5416A92D">
      <w:pPr>
        <w:rPr>
          <w:rFonts w:hint="eastAsia" w:ascii="楷体" w:hAnsi="楷体" w:eastAsia="楷体" w:cs="楷体"/>
          <w:spacing w:val="0"/>
        </w:rPr>
      </w:pPr>
    </w:p>
    <w:sectPr>
      <w:pgSz w:w="11906" w:h="16838"/>
      <w:pgMar w:top="1134" w:right="1417" w:bottom="1134" w:left="1417" w:header="56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Sans Serif">
    <w:altName w:val="MS Gothic"/>
    <w:panose1 w:val="00000000000000000000"/>
    <w:charset w:val="00"/>
    <w:family w:val="swiss"/>
    <w:pitch w:val="default"/>
    <w:sig w:usb0="00000000" w:usb1="00000000" w:usb2="00000000" w:usb3="00000000" w:csb0="00000001" w:csb1="00000000"/>
  </w:font>
  <w:font w:name="MS Gothic">
    <w:panose1 w:val="020B0609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02E93">
    <w:pPr>
      <w:adjustRightInd w:val="0"/>
      <w:spacing w:line="240" w:lineRule="atLeast"/>
      <w:ind w:right="-512" w:rightChars="-244"/>
      <w:jc w:val="lef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07E97">
    <w:r>
      <w:rPr>
        <w:rFonts w:hint="eastAsia" w:ascii="华文新魏" w:hAnsi="华文新魏" w:eastAsia="华文新魏"/>
        <w:b/>
        <w:bCs/>
        <w:color w:val="000000"/>
        <w:w w:val="150"/>
        <w:sz w:val="36"/>
        <w:u w:val="single"/>
      </w:rPr>
      <w:drawing>
        <wp:inline distT="0" distB="0" distL="114300" distR="114300">
          <wp:extent cx="1924685" cy="214630"/>
          <wp:effectExtent l="0" t="0" r="18415" b="13970"/>
          <wp:docPr id="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u w:val="single"/>
        <w:lang w:val="en-US" w:eastAsia="zh-CN"/>
      </w:rPr>
      <w:t xml:space="preserve">              </w:t>
    </w:r>
    <w:r>
      <w:rPr>
        <w:rFonts w:hint="eastAsia" w:ascii="华文新魏" w:hAnsi="华文新魏" w:eastAsia="华文新魏"/>
        <w:b/>
        <w:bCs/>
        <w:color w:val="000000"/>
        <w:w w:val="150"/>
        <w:sz w:val="36"/>
        <w:szCs w:val="18"/>
        <w:u w:val="single"/>
      </w:rPr>
      <w:drawing>
        <wp:inline distT="0" distB="0" distL="114300" distR="114300">
          <wp:extent cx="2816860" cy="241300"/>
          <wp:effectExtent l="0" t="0" r="2540" b="6350"/>
          <wp:docPr id="14" name="图片 14"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Administrator/Desktop/页眉新.jpg页眉新"/>
                  <pic:cNvPicPr>
                    <a:picLocks noChangeAspect="1"/>
                  </pic:cNvPicPr>
                </pic:nvPicPr>
                <pic:blipFill>
                  <a:blip r:embed="rId2"/>
                  <a:srcRect t="11" b="11"/>
                  <a:stretch>
                    <a:fillRect/>
                  </a:stretch>
                </pic:blipFill>
                <pic:spPr>
                  <a:xfrm>
                    <a:off x="0" y="0"/>
                    <a:ext cx="2816860" cy="241300"/>
                  </a:xfrm>
                  <a:prstGeom prst="rect">
                    <a:avLst/>
                  </a:prstGeom>
                </pic:spPr>
              </pic:pic>
            </a:graphicData>
          </a:graphic>
        </wp:inline>
      </w:drawing>
    </w:r>
  </w:p>
  <w:p w14:paraId="3073C365">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2DE83E"/>
    <w:multiLevelType w:val="singleLevel"/>
    <w:tmpl w:val="882DE83E"/>
    <w:lvl w:ilvl="0" w:tentative="0">
      <w:start w:val="1"/>
      <w:numFmt w:val="decimal"/>
      <w:lvlText w:val="%1."/>
      <w:lvlJc w:val="left"/>
      <w:pPr>
        <w:ind w:left="425" w:hanging="425"/>
      </w:pPr>
      <w:rPr>
        <w:rFonts w:hint="default"/>
      </w:rPr>
    </w:lvl>
  </w:abstractNum>
  <w:abstractNum w:abstractNumId="1">
    <w:nsid w:val="9517796B"/>
    <w:multiLevelType w:val="singleLevel"/>
    <w:tmpl w:val="9517796B"/>
    <w:lvl w:ilvl="0" w:tentative="0">
      <w:start w:val="1"/>
      <w:numFmt w:val="decimal"/>
      <w:lvlText w:val="%1."/>
      <w:lvlJc w:val="left"/>
      <w:pPr>
        <w:ind w:left="425" w:hanging="425"/>
      </w:pPr>
      <w:rPr>
        <w:rFonts w:hint="default"/>
      </w:rPr>
    </w:lvl>
  </w:abstractNum>
  <w:abstractNum w:abstractNumId="2">
    <w:nsid w:val="2063AA9F"/>
    <w:multiLevelType w:val="singleLevel"/>
    <w:tmpl w:val="2063AA9F"/>
    <w:lvl w:ilvl="0" w:tentative="0">
      <w:start w:val="1"/>
      <w:numFmt w:val="decimal"/>
      <w:lvlText w:val="%1."/>
      <w:lvlJc w:val="left"/>
      <w:pPr>
        <w:ind w:left="425" w:hanging="425"/>
      </w:pPr>
      <w:rPr>
        <w:rFonts w:hint="default"/>
      </w:rPr>
    </w:lvl>
  </w:abstractNum>
  <w:abstractNum w:abstractNumId="3">
    <w:nsid w:val="21372D7B"/>
    <w:multiLevelType w:val="singleLevel"/>
    <w:tmpl w:val="21372D7B"/>
    <w:lvl w:ilvl="0" w:tentative="0">
      <w:start w:val="2"/>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yYjQyNmU5ZDg2NGYxZjIyZDQ2MjMwZDMzYTk4NmYifQ=="/>
  </w:docVars>
  <w:rsids>
    <w:rsidRoot w:val="008C0588"/>
    <w:rsid w:val="000017E1"/>
    <w:rsid w:val="000E204A"/>
    <w:rsid w:val="001068E7"/>
    <w:rsid w:val="0011041C"/>
    <w:rsid w:val="001157E5"/>
    <w:rsid w:val="00130E2B"/>
    <w:rsid w:val="00222388"/>
    <w:rsid w:val="002700CA"/>
    <w:rsid w:val="002D3483"/>
    <w:rsid w:val="0032487B"/>
    <w:rsid w:val="003A405C"/>
    <w:rsid w:val="003A6A34"/>
    <w:rsid w:val="00432E53"/>
    <w:rsid w:val="00577DE9"/>
    <w:rsid w:val="00665D03"/>
    <w:rsid w:val="0071713D"/>
    <w:rsid w:val="00774BED"/>
    <w:rsid w:val="00852A4A"/>
    <w:rsid w:val="00891040"/>
    <w:rsid w:val="008C0588"/>
    <w:rsid w:val="008C6E09"/>
    <w:rsid w:val="008C7B7F"/>
    <w:rsid w:val="008F25F7"/>
    <w:rsid w:val="00990E5D"/>
    <w:rsid w:val="00997141"/>
    <w:rsid w:val="009B4E61"/>
    <w:rsid w:val="00AA23BE"/>
    <w:rsid w:val="00B630BA"/>
    <w:rsid w:val="00B801BA"/>
    <w:rsid w:val="00BC66D0"/>
    <w:rsid w:val="00BF1449"/>
    <w:rsid w:val="00C164EF"/>
    <w:rsid w:val="00CA182F"/>
    <w:rsid w:val="00CA507A"/>
    <w:rsid w:val="00E67370"/>
    <w:rsid w:val="01117499"/>
    <w:rsid w:val="02C57B86"/>
    <w:rsid w:val="03411519"/>
    <w:rsid w:val="037672D5"/>
    <w:rsid w:val="038A4828"/>
    <w:rsid w:val="043B71F3"/>
    <w:rsid w:val="04591ED7"/>
    <w:rsid w:val="04E60869"/>
    <w:rsid w:val="05776E98"/>
    <w:rsid w:val="05D17F78"/>
    <w:rsid w:val="06AB7974"/>
    <w:rsid w:val="06FC2DC7"/>
    <w:rsid w:val="07A02624"/>
    <w:rsid w:val="07D81940"/>
    <w:rsid w:val="0AC625FF"/>
    <w:rsid w:val="0B487EA1"/>
    <w:rsid w:val="0BA63212"/>
    <w:rsid w:val="0BEB46B4"/>
    <w:rsid w:val="0C631599"/>
    <w:rsid w:val="0E053AD9"/>
    <w:rsid w:val="0E7D3C55"/>
    <w:rsid w:val="12AA5440"/>
    <w:rsid w:val="132A30C1"/>
    <w:rsid w:val="137E35A8"/>
    <w:rsid w:val="13894B58"/>
    <w:rsid w:val="13AB23DC"/>
    <w:rsid w:val="14A044B3"/>
    <w:rsid w:val="150A2B53"/>
    <w:rsid w:val="15463E22"/>
    <w:rsid w:val="156552E4"/>
    <w:rsid w:val="15B72EF9"/>
    <w:rsid w:val="169157F9"/>
    <w:rsid w:val="16B266B2"/>
    <w:rsid w:val="176C69F5"/>
    <w:rsid w:val="17DC5B9C"/>
    <w:rsid w:val="18A96E20"/>
    <w:rsid w:val="1BAD03FC"/>
    <w:rsid w:val="1BC917E9"/>
    <w:rsid w:val="1C0F5F6C"/>
    <w:rsid w:val="1CDB4CBF"/>
    <w:rsid w:val="1DBF0F73"/>
    <w:rsid w:val="1E3A2B7A"/>
    <w:rsid w:val="1E550F54"/>
    <w:rsid w:val="1F6E78CB"/>
    <w:rsid w:val="1FAF6652"/>
    <w:rsid w:val="1FC77C2C"/>
    <w:rsid w:val="202D27F2"/>
    <w:rsid w:val="206D0120"/>
    <w:rsid w:val="22137454"/>
    <w:rsid w:val="228B5E06"/>
    <w:rsid w:val="22ED21E5"/>
    <w:rsid w:val="23FD7BF2"/>
    <w:rsid w:val="249014AC"/>
    <w:rsid w:val="250E2947"/>
    <w:rsid w:val="25892D6E"/>
    <w:rsid w:val="25AB219E"/>
    <w:rsid w:val="2615330B"/>
    <w:rsid w:val="262A05CA"/>
    <w:rsid w:val="265937A8"/>
    <w:rsid w:val="27103BFD"/>
    <w:rsid w:val="279C2B65"/>
    <w:rsid w:val="27B34D10"/>
    <w:rsid w:val="27EF25D2"/>
    <w:rsid w:val="28621F05"/>
    <w:rsid w:val="287747C5"/>
    <w:rsid w:val="28B3397D"/>
    <w:rsid w:val="293D7F65"/>
    <w:rsid w:val="29482DB2"/>
    <w:rsid w:val="294E18B8"/>
    <w:rsid w:val="29876B39"/>
    <w:rsid w:val="298A64DA"/>
    <w:rsid w:val="2A264379"/>
    <w:rsid w:val="2C5B331E"/>
    <w:rsid w:val="2CD129BB"/>
    <w:rsid w:val="2CFB204E"/>
    <w:rsid w:val="2D2535DA"/>
    <w:rsid w:val="2DF82A8C"/>
    <w:rsid w:val="2F346063"/>
    <w:rsid w:val="2F402DCE"/>
    <w:rsid w:val="2FBB4083"/>
    <w:rsid w:val="300B19C2"/>
    <w:rsid w:val="301B0636"/>
    <w:rsid w:val="30264648"/>
    <w:rsid w:val="303B7352"/>
    <w:rsid w:val="30FA7040"/>
    <w:rsid w:val="314854E3"/>
    <w:rsid w:val="32721448"/>
    <w:rsid w:val="32A62791"/>
    <w:rsid w:val="32E90A62"/>
    <w:rsid w:val="338C0519"/>
    <w:rsid w:val="34045AE7"/>
    <w:rsid w:val="345538A4"/>
    <w:rsid w:val="353737DD"/>
    <w:rsid w:val="36ED1586"/>
    <w:rsid w:val="37353E00"/>
    <w:rsid w:val="382F724B"/>
    <w:rsid w:val="388D27F4"/>
    <w:rsid w:val="389C3D55"/>
    <w:rsid w:val="39732704"/>
    <w:rsid w:val="3A1D5759"/>
    <w:rsid w:val="3AD545D2"/>
    <w:rsid w:val="3B13159A"/>
    <w:rsid w:val="3B7642B5"/>
    <w:rsid w:val="3C1544B9"/>
    <w:rsid w:val="3CF4117C"/>
    <w:rsid w:val="3D2B0753"/>
    <w:rsid w:val="3D3D0647"/>
    <w:rsid w:val="3D3F4F24"/>
    <w:rsid w:val="3D9066B2"/>
    <w:rsid w:val="3DA66DBC"/>
    <w:rsid w:val="3E1B592B"/>
    <w:rsid w:val="3E2C3833"/>
    <w:rsid w:val="3EE20C79"/>
    <w:rsid w:val="3F6179EC"/>
    <w:rsid w:val="3F8963D1"/>
    <w:rsid w:val="3F935EBD"/>
    <w:rsid w:val="4001508A"/>
    <w:rsid w:val="40084CD2"/>
    <w:rsid w:val="40146324"/>
    <w:rsid w:val="40F53CE7"/>
    <w:rsid w:val="41011290"/>
    <w:rsid w:val="417A5C15"/>
    <w:rsid w:val="41944672"/>
    <w:rsid w:val="42375AD1"/>
    <w:rsid w:val="425749D6"/>
    <w:rsid w:val="42FF125C"/>
    <w:rsid w:val="431160C9"/>
    <w:rsid w:val="431B4AC6"/>
    <w:rsid w:val="43E454CD"/>
    <w:rsid w:val="43F45D3F"/>
    <w:rsid w:val="43FA4BB7"/>
    <w:rsid w:val="454A6FB8"/>
    <w:rsid w:val="471534FE"/>
    <w:rsid w:val="477901A3"/>
    <w:rsid w:val="48235AD9"/>
    <w:rsid w:val="483C78AF"/>
    <w:rsid w:val="48613A48"/>
    <w:rsid w:val="48FD10B0"/>
    <w:rsid w:val="49161F4C"/>
    <w:rsid w:val="493528B0"/>
    <w:rsid w:val="499C3073"/>
    <w:rsid w:val="499D06C5"/>
    <w:rsid w:val="49A14A89"/>
    <w:rsid w:val="4A320701"/>
    <w:rsid w:val="4A663181"/>
    <w:rsid w:val="4A854628"/>
    <w:rsid w:val="4B2A592F"/>
    <w:rsid w:val="4B703A96"/>
    <w:rsid w:val="4C054EB1"/>
    <w:rsid w:val="4C2B0413"/>
    <w:rsid w:val="4CD74053"/>
    <w:rsid w:val="4D864321"/>
    <w:rsid w:val="4E0426BE"/>
    <w:rsid w:val="4FB6267A"/>
    <w:rsid w:val="50141BAF"/>
    <w:rsid w:val="506D1F87"/>
    <w:rsid w:val="50A97BC8"/>
    <w:rsid w:val="50DA4224"/>
    <w:rsid w:val="51730B5D"/>
    <w:rsid w:val="51794B1E"/>
    <w:rsid w:val="51B9633E"/>
    <w:rsid w:val="525C563D"/>
    <w:rsid w:val="52F5477A"/>
    <w:rsid w:val="53042EB5"/>
    <w:rsid w:val="530A2B75"/>
    <w:rsid w:val="53666CBE"/>
    <w:rsid w:val="539532D5"/>
    <w:rsid w:val="5421712B"/>
    <w:rsid w:val="54E77A4C"/>
    <w:rsid w:val="561C73C9"/>
    <w:rsid w:val="56260367"/>
    <w:rsid w:val="56423961"/>
    <w:rsid w:val="57111C8C"/>
    <w:rsid w:val="57174BB8"/>
    <w:rsid w:val="57353ACD"/>
    <w:rsid w:val="57DC62CE"/>
    <w:rsid w:val="58064DDB"/>
    <w:rsid w:val="58A04CEF"/>
    <w:rsid w:val="58EA43B9"/>
    <w:rsid w:val="597C5751"/>
    <w:rsid w:val="59C04B22"/>
    <w:rsid w:val="5A1B083A"/>
    <w:rsid w:val="5BDB10A4"/>
    <w:rsid w:val="5BFD2982"/>
    <w:rsid w:val="5C427D3B"/>
    <w:rsid w:val="5C66339F"/>
    <w:rsid w:val="5CDA2ACD"/>
    <w:rsid w:val="5D382B16"/>
    <w:rsid w:val="5DE2253F"/>
    <w:rsid w:val="5E8B1D74"/>
    <w:rsid w:val="5E93001E"/>
    <w:rsid w:val="604B62B4"/>
    <w:rsid w:val="60747CF3"/>
    <w:rsid w:val="618E5A1C"/>
    <w:rsid w:val="61AA6235"/>
    <w:rsid w:val="62334E81"/>
    <w:rsid w:val="62BF30AA"/>
    <w:rsid w:val="62D1452E"/>
    <w:rsid w:val="635D1393"/>
    <w:rsid w:val="64AF7D5F"/>
    <w:rsid w:val="64D41C9F"/>
    <w:rsid w:val="64D90598"/>
    <w:rsid w:val="64FE3AE9"/>
    <w:rsid w:val="650341A3"/>
    <w:rsid w:val="652433BC"/>
    <w:rsid w:val="665937E3"/>
    <w:rsid w:val="66681F38"/>
    <w:rsid w:val="66B37E1E"/>
    <w:rsid w:val="66C65E9E"/>
    <w:rsid w:val="673D741A"/>
    <w:rsid w:val="68223202"/>
    <w:rsid w:val="68264DB4"/>
    <w:rsid w:val="682C0070"/>
    <w:rsid w:val="6863274A"/>
    <w:rsid w:val="686D0B2D"/>
    <w:rsid w:val="6A0E1913"/>
    <w:rsid w:val="6AAF19B7"/>
    <w:rsid w:val="6ACF4054"/>
    <w:rsid w:val="6B4347D6"/>
    <w:rsid w:val="6E5B5BB8"/>
    <w:rsid w:val="6F330121"/>
    <w:rsid w:val="6FC2167A"/>
    <w:rsid w:val="704C5710"/>
    <w:rsid w:val="707B619A"/>
    <w:rsid w:val="717317F2"/>
    <w:rsid w:val="72295808"/>
    <w:rsid w:val="729B7318"/>
    <w:rsid w:val="735977AE"/>
    <w:rsid w:val="73CA2531"/>
    <w:rsid w:val="73EB45DB"/>
    <w:rsid w:val="73F60AFC"/>
    <w:rsid w:val="752A64DB"/>
    <w:rsid w:val="757E6C2A"/>
    <w:rsid w:val="759B2B34"/>
    <w:rsid w:val="75D13D6C"/>
    <w:rsid w:val="75F106E1"/>
    <w:rsid w:val="76FF0D84"/>
    <w:rsid w:val="7796536D"/>
    <w:rsid w:val="77CB13B7"/>
    <w:rsid w:val="78673452"/>
    <w:rsid w:val="78CA5921"/>
    <w:rsid w:val="796126A9"/>
    <w:rsid w:val="79752500"/>
    <w:rsid w:val="79D83B9A"/>
    <w:rsid w:val="79E40BE6"/>
    <w:rsid w:val="7A561ADA"/>
    <w:rsid w:val="7AD5659F"/>
    <w:rsid w:val="7B325C56"/>
    <w:rsid w:val="7C3F4226"/>
    <w:rsid w:val="7D9F43C6"/>
    <w:rsid w:val="7DAE5DE4"/>
    <w:rsid w:val="7DC83A21"/>
    <w:rsid w:val="7E24766C"/>
    <w:rsid w:val="7EAF68DC"/>
    <w:rsid w:val="7F58235D"/>
    <w:rsid w:val="7F800DC0"/>
    <w:rsid w:val="7FE86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S Sans Serif" w:hAnsi="MS Sans Serif"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8"/>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List 3"/>
    <w:basedOn w:val="1"/>
    <w:qFormat/>
    <w:uiPriority w:val="0"/>
    <w:pPr>
      <w:ind w:left="1260" w:hanging="420"/>
    </w:pPr>
    <w:rPr>
      <w:szCs w:val="20"/>
    </w:r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Body Text Indent"/>
    <w:basedOn w:val="1"/>
    <w:qFormat/>
    <w:uiPriority w:val="0"/>
    <w:pPr>
      <w:spacing w:after="120"/>
      <w:ind w:left="420" w:leftChars="200"/>
    </w:pPr>
  </w:style>
  <w:style w:type="paragraph" w:styleId="6">
    <w:name w:val="List 2"/>
    <w:basedOn w:val="1"/>
    <w:qFormat/>
    <w:uiPriority w:val="0"/>
    <w:pPr>
      <w:ind w:left="840" w:hanging="420"/>
    </w:pPr>
    <w:rPr>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List 4"/>
    <w:basedOn w:val="1"/>
    <w:qFormat/>
    <w:uiPriority w:val="0"/>
    <w:pPr>
      <w:ind w:left="1680" w:hanging="420"/>
    </w:pPr>
    <w:rPr>
      <w:szCs w:val="20"/>
    </w:r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Body Text First Indent 2"/>
    <w:basedOn w:val="5"/>
    <w:link w:val="17"/>
    <w:qFormat/>
    <w:uiPriority w:val="0"/>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正文文本首行缩进 2 字符"/>
    <w:basedOn w:val="14"/>
    <w:link w:val="11"/>
    <w:qFormat/>
    <w:uiPriority w:val="0"/>
    <w:rPr>
      <w:rFonts w:asciiTheme="minorHAnsi" w:hAnsiTheme="minorHAnsi" w:eastAsiaTheme="minorEastAsia" w:cstheme="minorBidi"/>
      <w:kern w:val="2"/>
      <w:sz w:val="21"/>
      <w:szCs w:val="24"/>
    </w:rPr>
  </w:style>
  <w:style w:type="character" w:customStyle="1" w:styleId="18">
    <w:name w:val="标题 2 字符"/>
    <w:basedOn w:val="14"/>
    <w:link w:val="2"/>
    <w:qFormat/>
    <w:uiPriority w:val="0"/>
    <w:rPr>
      <w:rFonts w:ascii="宋体" w:hAnsi="宋体"/>
      <w:b/>
      <w:sz w:val="36"/>
      <w:szCs w:val="3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83a7b030-135f-42b5-8faa-b89228ee35e3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5C8B8567</paraID>
      <start>100</start>
      <end>101</end>
      <status>modified</status>
      <modifiedWord>地</modifiedWord>
      <trackRevisions>false</trackRevisions>
    </reviewItem>
    <reviewItem>
      <errorID>2b4a06d6-e2b9-4b36-8ce4-430652ce388a</errorID>
      <errorWord>,</errorWord>
      <group>L1_Format</group>
      <groupName>格式问题</groupName>
      <ability>L2_HalfPunc_CN</ability>
      <abilityName>全半角问题</abilityName>
      <candidateList>
        <item>，</item>
      </candidateList>
      <explain>文本全半角错误。</explain>
      <paraID>7FE9EFF8</paraID>
      <start>20</start>
      <end>21</end>
      <status>modified</status>
      <modifiedWord>，</modifiedWord>
      <trackRevisions>false</trackRevisions>
    </reviewItem>
    <reviewItem>
      <errorID>4f589d9c-c29e-46af-98b0-423e5989315a</errorID>
      <errorWord>、等</errorWord>
      <group>L1_Punc</group>
      <groupName>标点问题</groupName>
      <ability>L2_Punc_CN</ability>
      <abilityName>标点符号问题</abilityName>
      <candidateList>
        <item>等</item>
      </candidateList>
      <explain>“及”“和”“等”连词前不宜使用顿号，建议删除（或使用逗号）。</explain>
      <paraID>3FD9843E</paraID>
      <start>7</start>
      <end>9</end>
      <status>ignored</status>
      <modifiedWord/>
      <trackRevisions>false</trackRevisions>
    </reviewItem>
    <reviewItem>
      <errorID>c4d37434-28fd-4347-9463-ea463c461eb7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746B9C66</paraID>
      <start>1</start>
      <end>3</end>
      <status>modified</status>
      <modifiedWord>1.</modifiedWord>
      <trackRevisions>false</trackRevisions>
    </reviewItem>
    <reviewItem>
      <errorID>7f88e678-ad46-4747-9909-9ae41033a507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25FA2D40</paraID>
      <start>0</start>
      <end>2</end>
      <status>modified</status>
      <modifiedWord>2.</modifiedWord>
      <trackRevisions>false</trackRevisions>
    </reviewItem>
    <reviewItem>
      <errorID>d91e30ed-de3a-49f3-b1d6-98e2bd36f1ab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6667942A</paraID>
      <start>0</start>
      <end>2</end>
      <status>modified</status>
      <modifiedWord>3.</modifiedWord>
      <trackRevisions>false</trackRevisions>
    </reviewItem>
    <reviewItem>
      <errorID>97ff32e6-23bb-49be-a1bf-3088cebdc090</errorID>
      <errorWord>噪音</errorWord>
      <group>L1_Word</group>
      <groupName>字词问题</groupName>
      <ability>L2_Alias</ability>
      <abilityName>也作/曾用词</abilityName>
      <candidateList>
        <item>噪声</item>
      </candidateList>
      <explain>词汇[噪音]为不规范表述或旧称，其规范书面表述为[噪声]。</explain>
      <paraID>6667942A</paraID>
      <start>93</start>
      <end>95</end>
      <status>ignored</status>
      <modifiedWord/>
      <trackRevisions>false</trackRevisions>
    </reviewItem>
    <reviewItem>
      <errorID>dfb3bc32-0361-408a-a6bd-47e3df726d9e</errorID>
      <errorWord>作</errorWord>
      <group>L1_Word</group>
      <groupName>字词问题</groupName>
      <ability>L2_Typo</ability>
      <abilityName>字词错误</abilityName>
      <candidateList>
        <item>作人</item>
      </candidateList>
      <explain/>
      <paraID>6667942A</paraID>
      <start>123</start>
      <end>124</end>
      <status>ignored</status>
      <modifiedWord/>
      <trackRevisions>false</trackRevisions>
    </reviewItem>
    <reviewItem>
      <errorID>a124ab29-8ad1-4199-af87-7911024c8189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4D9CB99</paraID>
      <start>0</start>
      <end>2</end>
      <status>modified</status>
      <modifiedWord>4.</modifiedWord>
      <trackRevisions>false</trackRevisions>
    </reviewItem>
    <reviewItem>
      <errorID>143eb675-1e61-457d-af9f-18d0896ccdf0</errorID>
      <errorWord>无须</errorWord>
      <group>L1_Word</group>
      <groupName>字词问题</groupName>
      <ability>L2_Typo</ability>
      <abilityName>字词错误</abilityName>
      <candidateList>
        <item>无需</item>
      </candidateList>
      <explain>存在发音相同字词的误用。</explain>
      <paraID> 4D9CB99</paraID>
      <start>18</start>
      <end>20</end>
      <status>modified</status>
      <modifiedWord>无需</modifiedWord>
      <trackRevisions>false</trackRevisions>
    </reviewItem>
    <reviewItem>
      <errorID>a90da5b3-a95e-4cb0-983c-8409513884bf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2C232A4</paraID>
      <start>0</start>
      <end>2</end>
      <status>modified</status>
      <modifiedWord>1.</modifiedWord>
      <trackRevisions>false</trackRevisions>
    </reviewItem>
    <reviewItem>
      <errorID>33df3695-386e-443a-a550-43c68edde3dd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5C74C4A9</paraID>
      <start>0</start>
      <end>2</end>
      <status>modified</status>
      <modifiedWord>2.</modifiedWord>
      <trackRevisions>false</trackRevisions>
    </reviewItem>
    <reviewItem>
      <errorID>fa914fb8-170a-4c42-b345-55030561a4d3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11F67E3B</paraID>
      <start>0</start>
      <end>2</end>
      <status>modified</status>
      <modifiedWord>3.</modifiedWord>
      <trackRevisions>false</trackRevisions>
    </reviewItem>
    <reviewItem>
      <errorID>891040b8-2876-4d4f-ab50-d2fbf01d9695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4C87F4D</paraID>
      <start>0</start>
      <end>2</end>
      <status>modified</status>
      <modifiedWord>4.</modifiedWord>
      <trackRevisions>false</trackRevisions>
    </reviewItem>
    <reviewItem>
      <errorID>225ad053-45d8-40d3-af1b-208dd854925c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77E34712</paraID>
      <start>0</start>
      <end>2</end>
      <status>modified</status>
      <modifiedWord>5.</modifiedWord>
      <trackRevisions>false</trackRevisions>
    </reviewItem>
    <reviewItem>
      <errorID>04505b29-8a5f-4239-92f1-f57c0e551558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42D4FFE3</paraID>
      <start>0</start>
      <end>2</end>
      <status>modified</status>
      <modifiedWord>6.</modifiedWord>
      <trackRevisions>false</trackRevisions>
    </reviewItem>
    <reviewItem>
      <errorID>7bb57eed-ccf0-40d6-a985-945b1367c40a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4F9839</paraID>
      <start>0</start>
      <end>2</end>
      <status>modified</status>
      <modifiedWord>7.</modifiedWord>
      <trackRevisions>false</trackRevisions>
    </reviewItem>
    <reviewItem>
      <errorID>af32609b-9b92-4eb0-a6dc-c956aae315eb</errorID>
      <errorWord>,</errorWord>
      <group>L1_Format</group>
      <groupName>格式问题</groupName>
      <ability>L2_HalfPunc_CN</ability>
      <abilityName>全半角问题</abilityName>
      <candidateList>
        <item>，</item>
      </candidateList>
      <explain>文本全半角错误。</explain>
      <paraID>  4F9839</paraID>
      <start>37</start>
      <end>38</end>
      <status>modified</status>
      <modifiedWord>，</modifiedWord>
      <trackRevisions>false</trackRevisions>
    </reviewItem>
    <reviewItem>
      <errorID>10a8b5f3-2e86-429a-81c6-0d8e202503a0</errorID>
      <errorWord>(</errorWord>
      <group>L1_Format</group>
      <groupName>格式问题</groupName>
      <ability>L2_HalfPunc_CN</ability>
      <abilityName>全半角问题</abilityName>
      <candidateList>
        <item>（</item>
      </candidateList>
      <explain>文本全半角错误。</explain>
      <paraID>  4F9839</paraID>
      <start>55</start>
      <end>56</end>
      <status>modified</status>
      <modifiedWord>（</modifiedWord>
      <trackRevisions>false</trackRevisions>
    </reviewItem>
    <reviewItem>
      <errorID>ad90a8ec-af8e-456f-a7e3-7727e18c04ec</errorID>
      <errorWord>)</errorWord>
      <group>L1_Format</group>
      <groupName>格式问题</groupName>
      <ability>L2_HalfPunc_CN</ability>
      <abilityName>全半角问题</abilityName>
      <candidateList>
        <item>）</item>
      </candidateList>
      <explain>文本全半角错误。</explain>
      <paraID>  4F9839</paraID>
      <start>62</start>
      <end>63</end>
      <status>modified</status>
      <modifiedWord>）</modifiedWord>
      <trackRevisions>false</trackRevisions>
    </reviewItem>
    <reviewItem>
      <errorID>76631e92-673b-4594-89d0-c47b8f0b143c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5C82E1F5</paraID>
      <start>0</start>
      <end>2</end>
      <status>modified</status>
      <modifiedWord>8.</modifiedWord>
      <trackRevisions>false</trackRevisions>
    </reviewItem>
    <reviewItem>
      <errorID>bddf1f31-71be-4dc9-b8ee-eec452413ccd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62525E59</paraID>
      <start>0</start>
      <end>2</end>
      <status>modified</status>
      <modifiedWord>9.</modifiedWord>
      <trackRevisions>false</trackRevisions>
    </reviewItem>
    <reviewItem>
      <errorID>01557b52-20ad-4036-bafb-bf0f8db11696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759658FA</paraID>
      <start>0</start>
      <end>3</end>
      <status>modified</status>
      <modifiedWord>10.</modifiedWord>
      <trackRevisions>false</trackRevisions>
    </reviewItem>
    <reviewItem>
      <errorID>a712609e-9140-44f4-8cfe-8b83cbd98d6d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4B6BBC14</paraID>
      <start>0</start>
      <end>3</end>
      <status>modified</status>
      <modifiedWord>11.</modifiedWord>
      <trackRevisions>false</trackRevisions>
    </reviewItem>
    <reviewItem>
      <errorID>4b924b2a-f59d-46b2-b851-c19bcb938253</errorID>
      <errorWord>必需</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456754B9</paraID>
      <start>54</start>
      <end>56</end>
      <status>ignored</status>
      <modifiedWord/>
      <trackRevisions>false</trackRevisions>
    </reviewItem>
    <reviewItem>
      <errorID>0f98e5c2-2bb7-47c0-a584-4a5d29c693e1</errorID>
      <errorWord>电器</errorWord>
      <group>L1_Word</group>
      <groupName>字词问题</groupName>
      <ability>L2_Typo</ability>
      <abilityName>字词错误</abilityName>
      <candidateList>
        <item>电气</item>
      </candidateList>
      <explain/>
      <paraID>456754B9</paraID>
      <start>91</start>
      <end>93</end>
      <status>ignored</status>
      <modifiedWord/>
      <trackRevisions>false</trackRevisions>
    </reviewItem>
    <reviewItem>
      <errorID>99ace72e-d9c3-40f4-a3b5-e9d79b96fe4c</errorID>
      <errorWord>,</errorWord>
      <group>L1_Format</group>
      <groupName>格式问题</groupName>
      <ability>L2_HalfPunc_CN</ability>
      <abilityName>全半角问题</abilityName>
      <candidateList>
        <item>，</item>
      </candidateList>
      <explain>文本全半角错误。</explain>
      <paraID> 7411222</paraID>
      <start>22</start>
      <end>23</end>
      <status>modified</status>
      <modifiedWord>，</modifiedWord>
      <trackRevisions>false</trackRevisions>
    </reviewItem>
    <reviewItem>
      <errorID>1fff8548-eae9-44e2-87c3-0a3cf5a78fe9</errorID>
      <errorWord>(</errorWord>
      <group>L1_Format</group>
      <groupName>格式问题</groupName>
      <ability>L2_HalfPunc_CN</ability>
      <abilityName>全半角问题</abilityName>
      <candidateList>
        <item>（</item>
      </candidateList>
      <explain>文本全半角错误。</explain>
      <paraID> 7411222</paraID>
      <start>83</start>
      <end>84</end>
      <status>modified</status>
      <modifiedWord>（</modifiedWord>
      <trackRevisions>false</trackRevisions>
    </reviewItem>
    <reviewItem>
      <errorID>1323a9b9-01be-49d4-a93c-33235a04c474</errorID>
      <errorWord>)</errorWord>
      <group>L1_Format</group>
      <groupName>格式问题</groupName>
      <ability>L2_HalfPunc_CN</ability>
      <abilityName>全半角问题</abilityName>
      <candidateList>
        <item>）</item>
      </candidateList>
      <explain>文本全半角错误。</explain>
      <paraID> 7411222</paraID>
      <start>91</start>
      <end>92</end>
      <status>modified</status>
      <modifiedWord>）</modifiedWord>
      <trackRevisions>false</trackRevisions>
    </reviewItem>
    <reviewItem>
      <errorID>c091eec4-047d-43d6-95c3-094e41a5636e</errorID>
      <errorWord>～</errorWord>
      <group>L1_Format</group>
      <groupName>格式问题</groupName>
      <ability>L2_HalfPunc_CN</ability>
      <abilityName>全半角问题</abilityName>
      <candidateList>
        <item>~</item>
      </candidateList>
      <explain>文本全半角错误。</explain>
      <paraID>1575764E</paraID>
      <start>1</start>
      <end>2</end>
      <status>modified</status>
      <modifiedWord>~</modifiedWord>
      <trackRevisions>false</trackRevisions>
    </reviewItem>
    <reviewItem>
      <errorID>667fb472-af3a-4d81-9363-cff2ac129606</errorID>
      <errorWord>，</errorWord>
      <group>L1_Format</group>
      <groupName>格式问题</groupName>
      <ability>L2_HalfPunc_CN</ability>
      <abilityName>全半角问题</abilityName>
      <candidateList>
        <item>,</item>
      </candidateList>
      <explain>文本全半角错误。</explain>
      <paraID>7EF6623F</paraID>
      <start>3</start>
      <end>4</end>
      <status>modified</status>
      <modifiedWord>,</modifiedWord>
      <trackRevisions>false</trackRevisions>
    </reviewItem>
    <reviewItem>
      <errorID>594d2e08-cde3-44a2-b16f-53b29431e65c</errorID>
      <errorWord>海拔高度</errorWord>
      <group>L1_Word</group>
      <groupName>字词问题</groupName>
      <ability>L2_Typo</ability>
      <abilityName>字词错误</abilityName>
      <candidateList>
        <item>海拔</item>
      </candidateList>
      <explain>〈名〉从平均海平面起算的高度。</explain>
      <paraID> 155B7D6</paraID>
      <start>7</start>
      <end>11</end>
      <status>ignored</status>
      <modifiedWord/>
      <trackRevisions>false</trackRevisions>
    </reviewItem>
  </reviewItems>
  <config/>
</contractReview>
</file>

<file path=customXml/itemProps1.xml><?xml version="1.0" encoding="utf-8"?>
<ds:datastoreItem xmlns:ds="http://schemas.openxmlformats.org/officeDocument/2006/customXml" ds:itemID="{f15d38c7-d40c-4db9-b5e0-607dc9b2463c}">
  <ds:schemaRefs/>
</ds:datastoreItem>
</file>

<file path=docProps/app.xml><?xml version="1.0" encoding="utf-8"?>
<Properties xmlns="http://schemas.openxmlformats.org/officeDocument/2006/extended-properties" xmlns:vt="http://schemas.openxmlformats.org/officeDocument/2006/docPropsVTypes">
  <Template>Normal</Template>
  <Company>XADMDZ</Company>
  <Pages>10</Pages>
  <Words>3336</Words>
  <Characters>3811</Characters>
  <Lines>26</Lines>
  <Paragraphs>7</Paragraphs>
  <TotalTime>3</TotalTime>
  <ScaleCrop>false</ScaleCrop>
  <LinksUpToDate>false</LinksUpToDate>
  <CharactersWithSpaces>3860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台风口的猪</cp:lastModifiedBy>
  <cp:lastPrinted>2017-12-05T11:51:00Z</cp:lastPrinted>
  <dcterms:modified xsi:type="dcterms:W3CDTF">2026-07-07T02:17:37Z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RubyTemplateID" linkTarget="0">
    <vt:lpwstr>6</vt:lpwstr>
  </property>
  <property fmtid="{D5CDD505-2E9C-101B-9397-08002B2CF9AE}" pid="4" name="ICV">
    <vt:lpwstr>DA297CBC4F7549788172ACF8CFEF9CBA_13</vt:lpwstr>
  </property>
  <property fmtid="{D5CDD505-2E9C-101B-9397-08002B2CF9AE}" pid="5" name="KSOTemplateDocerSaveRecord">
    <vt:lpwstr>eyJoZGlkIjoiNjYyYjQyNmU5ZDg2NGYxZjIyZDQ2MjMwZDMzYTk4NmYiLCJ1c2VySWQiOiIxMTcyOTA0ODI2In0=</vt:lpwstr>
  </property>
</Properties>
</file>